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0239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BDA2FA6">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1C62AA14">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1E9DF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FBD5B18">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5E5C866D">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670D89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CAEBC0C">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37</w:t>
            </w:r>
            <w:r>
              <w:fldChar w:fldCharType="end"/>
            </w:r>
            <w:bookmarkEnd w:id="3"/>
          </w:p>
        </w:tc>
      </w:tr>
    </w:tbl>
    <w:p w14:paraId="72314C6D">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84DE74F">
      <w:pPr>
        <w:pStyle w:val="196"/>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37/T</w:t>
      </w:r>
      <w:r>
        <w:rPr>
          <w:rFonts w:hint="eastAsia"/>
        </w:rPr>
        <w:t xml:space="preserve">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rPr>
        <w:t>4</w:t>
      </w:r>
      <w:r>
        <w:rPr>
          <w:rFonts w:hint="eastAsia"/>
        </w:rPr>
        <w:t>892</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2</w:t>
      </w:r>
      <w:r>
        <w:rPr>
          <w:rFonts w:hint="eastAsia"/>
        </w:rPr>
        <w:t>025</w:t>
      </w:r>
      <w:r>
        <w:fldChar w:fldCharType="end"/>
      </w:r>
      <w:bookmarkEnd w:id="7"/>
    </w:p>
    <w:p w14:paraId="0FAFA954">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0FFB70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4D1CAA1B">
      <w:pPr>
        <w:pStyle w:val="51"/>
        <w:framePr w:w="9639" w:h="6976" w:hRule="exact" w:hSpace="0" w:vSpace="0" w:wrap="around" w:hAnchor="page" w:y="6408"/>
        <w:jc w:val="center"/>
        <w:rPr>
          <w:rFonts w:ascii="黑体" w:hAnsi="黑体" w:eastAsia="黑体"/>
          <w:b w:val="0"/>
          <w:bCs w:val="0"/>
          <w:w w:val="100"/>
        </w:rPr>
      </w:pPr>
    </w:p>
    <w:p w14:paraId="5FB6BA9A">
      <w:pPr>
        <w:pStyle w:val="198"/>
        <w:framePr w:h="6974" w:hRule="exact" w:wrap="around" w:x="1433" w:y="6393"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灵芝轻简化</w:t>
      </w:r>
      <w:r>
        <w:t>生产技术规程</w:t>
      </w:r>
      <w:r>
        <w:fldChar w:fldCharType="end"/>
      </w:r>
      <w:bookmarkEnd w:id="9"/>
    </w:p>
    <w:p w14:paraId="00219C43">
      <w:pPr>
        <w:framePr w:w="9639" w:h="6974" w:hRule="exact" w:wrap="around" w:vAnchor="page" w:hAnchor="page" w:x="1433" w:y="6393" w:anchorLock="1"/>
        <w:ind w:left="-1418"/>
      </w:pPr>
    </w:p>
    <w:p w14:paraId="2474628D">
      <w:pPr>
        <w:pStyle w:val="126"/>
        <w:framePr w:w="9639" w:h="6974" w:hRule="exact" w:wrap="around" w:vAnchor="page" w:hAnchor="page" w:x="1433" w:y="6393"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Technical </w:t>
      </w:r>
      <w:r>
        <w:rPr>
          <w:rFonts w:hint="eastAsia" w:eastAsia="黑体"/>
          <w:szCs w:val="28"/>
        </w:rPr>
        <w:t>code</w:t>
      </w:r>
      <w:r>
        <w:rPr>
          <w:rFonts w:eastAsia="黑体"/>
          <w:szCs w:val="28"/>
        </w:rPr>
        <w:t xml:space="preserve"> </w:t>
      </w:r>
      <w:r>
        <w:rPr>
          <w:rFonts w:hint="eastAsia" w:eastAsia="黑体"/>
          <w:szCs w:val="28"/>
        </w:rPr>
        <w:t>of</w:t>
      </w:r>
      <w:r>
        <w:rPr>
          <w:rFonts w:eastAsia="黑体"/>
          <w:szCs w:val="28"/>
        </w:rPr>
        <w:t xml:space="preserve"> </w:t>
      </w:r>
      <w:r>
        <w:rPr>
          <w:rFonts w:hint="eastAsia" w:eastAsia="黑体"/>
          <w:szCs w:val="28"/>
        </w:rPr>
        <w:t>practice</w:t>
      </w:r>
      <w:r>
        <w:rPr>
          <w:rFonts w:eastAsia="黑体"/>
          <w:szCs w:val="28"/>
        </w:rPr>
        <w:t xml:space="preserve"> </w:t>
      </w:r>
      <w:r>
        <w:rPr>
          <w:rFonts w:hint="eastAsia" w:eastAsia="黑体"/>
          <w:szCs w:val="28"/>
        </w:rPr>
        <w:t>for Ganoderma lingzhi simplified production</w:t>
      </w:r>
      <w:r>
        <w:rPr>
          <w:rFonts w:eastAsia="黑体"/>
          <w:szCs w:val="28"/>
        </w:rPr>
        <w:fldChar w:fldCharType="end"/>
      </w:r>
      <w:bookmarkEnd w:id="10"/>
    </w:p>
    <w:p w14:paraId="1FF57525">
      <w:pPr>
        <w:framePr w:w="9639" w:h="6974" w:hRule="exact" w:wrap="around" w:vAnchor="page" w:hAnchor="page" w:x="1433" w:y="6393" w:anchorLock="1"/>
        <w:spacing w:line="760" w:lineRule="exact"/>
        <w:ind w:left="-1418"/>
      </w:pPr>
    </w:p>
    <w:p w14:paraId="269BDDF7">
      <w:pPr>
        <w:pStyle w:val="126"/>
        <w:framePr w:w="9639" w:h="6974" w:hRule="exact" w:wrap="around" w:vAnchor="page" w:hAnchor="page" w:x="1433" w:y="6393" w:anchorLock="1"/>
        <w:textAlignment w:val="bottom"/>
        <w:rPr>
          <w:rFonts w:eastAsia="黑体"/>
          <w:szCs w:val="28"/>
        </w:rPr>
      </w:pPr>
    </w:p>
    <w:p w14:paraId="449F182F">
      <w:pPr>
        <w:pStyle w:val="126"/>
        <w:framePr w:w="9639" w:h="6974" w:hRule="exact" w:wrap="around" w:vAnchor="page" w:hAnchor="page" w:x="1433" w:y="6393" w:anchorLock="1"/>
        <w:spacing w:before="440" w:after="160"/>
        <w:textAlignment w:val="bottom"/>
        <w:rPr>
          <w:sz w:val="24"/>
          <w:szCs w:val="28"/>
        </w:rPr>
      </w:pPr>
    </w:p>
    <w:p w14:paraId="266F998B">
      <w:pPr>
        <w:pStyle w:val="126"/>
        <w:framePr w:w="9639" w:h="6974" w:hRule="exact" w:wrap="around" w:vAnchor="page" w:hAnchor="page" w:x="1433" w:y="6393" w:anchorLock="1"/>
        <w:spacing w:before="180" w:line="240" w:lineRule="atLeast"/>
        <w:textAlignment w:val="bottom"/>
        <w:rPr>
          <w:sz w:val="21"/>
          <w:szCs w:val="28"/>
        </w:rPr>
      </w:pPr>
    </w:p>
    <w:p w14:paraId="22623480">
      <w:pPr>
        <w:pStyle w:val="126"/>
        <w:framePr w:w="9639" w:h="6974" w:hRule="exact" w:wrap="around" w:vAnchor="page" w:hAnchor="page" w:x="1433" w:y="6393" w:anchorLock="1"/>
        <w:spacing w:before="720" w:beforeLines="300" w:after="72" w:afterLines="30" w:line="240" w:lineRule="auto"/>
        <w:textAlignment w:val="bottom"/>
        <w:rPr>
          <w:b/>
          <w:sz w:val="21"/>
          <w:szCs w:val="28"/>
        </w:rPr>
      </w:pPr>
    </w:p>
    <w:p w14:paraId="2C84E586">
      <w:pPr>
        <w:pStyle w:val="194"/>
        <w:framePr w:wrap="around" w:y="14176"/>
      </w:pPr>
      <w:r>
        <w:rPr>
          <w:rFonts w:ascii="黑体"/>
        </w:rPr>
        <w:t>2025 -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hint="eastAsia" w:ascii="黑体"/>
          <w:lang w:eastAsia="zh-CN"/>
        </w:rPr>
        <w:t>0</w:t>
      </w:r>
      <w:r>
        <w:rPr>
          <w:rFonts w:hint="eastAsia" w:ascii="黑体"/>
          <w:lang w:val="en-US" w:eastAsia="zh-CN"/>
        </w:rPr>
        <w:t>9</w:t>
      </w:r>
      <w:r>
        <w:rPr>
          <w:rFonts w:ascii="黑体"/>
        </w:rPr>
        <w:fldChar w:fldCharType="end"/>
      </w:r>
      <w:bookmarkEnd w:id="11"/>
      <w:r>
        <w:rPr>
          <w:rFonts w:ascii="黑体"/>
        </w:rPr>
        <w:t>-</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hint="eastAsia" w:ascii="黑体"/>
          <w:lang w:eastAsia="zh-CN"/>
        </w:rPr>
        <w:t>1</w:t>
      </w:r>
      <w:r>
        <w:rPr>
          <w:rFonts w:hint="eastAsia" w:ascii="黑体"/>
          <w:lang w:val="en-US" w:eastAsia="zh-CN"/>
        </w:rPr>
        <w:t>5</w:t>
      </w:r>
      <w:r>
        <w:rPr>
          <w:rFonts w:ascii="黑体"/>
        </w:rPr>
        <w:fldChar w:fldCharType="end"/>
      </w:r>
      <w:bookmarkEnd w:id="12"/>
      <w:r>
        <w:rPr>
          <w:rFonts w:hint="eastAsia"/>
        </w:rPr>
        <w:t>发布</w:t>
      </w:r>
    </w:p>
    <w:p w14:paraId="0166030D">
      <w:pPr>
        <w:pStyle w:val="195"/>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3"/>
      <w:r>
        <w:rPr>
          <w:rFonts w:ascii="黑体"/>
        </w:rPr>
        <w:t>-</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hint="eastAsia" w:ascii="黑体"/>
          <w:lang w:eastAsia="zh-CN"/>
        </w:rPr>
        <w:t>1</w:t>
      </w:r>
      <w:r>
        <w:rPr>
          <w:rFonts w:hint="eastAsia" w:ascii="黑体"/>
          <w:lang w:val="en-US" w:eastAsia="zh-CN"/>
        </w:rPr>
        <w:t>0</w:t>
      </w:r>
      <w:r>
        <w:rPr>
          <w:rFonts w:ascii="黑体"/>
        </w:rPr>
        <w:fldChar w:fldCharType="end"/>
      </w:r>
      <w:bookmarkEnd w:id="14"/>
      <w:r>
        <w:rPr>
          <w:rFonts w:ascii="黑体"/>
        </w:rPr>
        <w:t>-</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hint="eastAsia" w:ascii="黑体"/>
          <w:lang w:eastAsia="zh-CN"/>
        </w:rPr>
        <w:t>1</w:t>
      </w:r>
      <w:r>
        <w:rPr>
          <w:rFonts w:hint="eastAsia" w:ascii="黑体"/>
          <w:lang w:val="en-US" w:eastAsia="zh-CN"/>
        </w:rPr>
        <w:t>5</w:t>
      </w:r>
      <w:r>
        <w:rPr>
          <w:rFonts w:ascii="黑体"/>
        </w:rPr>
        <w:fldChar w:fldCharType="end"/>
      </w:r>
      <w:bookmarkEnd w:id="15"/>
      <w:r>
        <w:rPr>
          <w:rFonts w:hint="eastAsia"/>
        </w:rPr>
        <w:t>实施</w:t>
      </w:r>
    </w:p>
    <w:p w14:paraId="418FB422">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16"/>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0FE4ED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7723BF9C">
      <w:pPr>
        <w:pStyle w:val="90"/>
        <w:spacing w:after="468"/>
      </w:pPr>
      <w:bookmarkStart w:id="17" w:name="_Toc24916"/>
      <w:bookmarkStart w:id="18" w:name="BookMark2"/>
      <w:r>
        <w:rPr>
          <w:spacing w:val="320"/>
        </w:rPr>
        <w:t>前</w:t>
      </w:r>
      <w:r>
        <w:t>言</w:t>
      </w:r>
      <w:bookmarkEnd w:id="17"/>
    </w:p>
    <w:p w14:paraId="317AA947">
      <w:pPr>
        <w:pStyle w:val="57"/>
        <w:ind w:firstLine="420"/>
      </w:pPr>
      <w:r>
        <w:rPr>
          <w:rFonts w:hint="eastAsia"/>
        </w:rPr>
        <w:t>本文件按照GB/T 1.1—2020《标准化工作导则  第1部分：标准化文件的结构和起草规则》的规定起草。</w:t>
      </w:r>
    </w:p>
    <w:p w14:paraId="49BCC7F5">
      <w:pPr>
        <w:pStyle w:val="232"/>
        <w:rPr>
          <w:rFonts w:hAnsi="宋体" w:cs="宋体"/>
          <w:color w:val="000000"/>
          <w:szCs w:val="21"/>
        </w:rPr>
      </w:pPr>
      <w:r>
        <w:rPr>
          <w:rFonts w:hint="eastAsia" w:hAnsi="宋体" w:cs="宋体"/>
          <w:color w:val="000000"/>
          <w:szCs w:val="21"/>
        </w:rPr>
        <w:t>请注意本文件的某些内容可能涉及专利。本文件的发布机构不承担识别专利的责任。</w:t>
      </w:r>
    </w:p>
    <w:p w14:paraId="6A4FE090">
      <w:pPr>
        <w:pStyle w:val="57"/>
        <w:ind w:firstLine="420"/>
      </w:pPr>
      <w:r>
        <w:rPr>
          <w:rFonts w:hint="eastAsia"/>
        </w:rPr>
        <w:t>本文件由山东省农</w:t>
      </w:r>
      <w:bookmarkStart w:id="72" w:name="_GoBack"/>
      <w:bookmarkEnd w:id="72"/>
      <w:r>
        <w:rPr>
          <w:rFonts w:hint="eastAsia"/>
        </w:rPr>
        <w:t>业农村厅提出并组织实施。</w:t>
      </w:r>
    </w:p>
    <w:p w14:paraId="1566D6FF">
      <w:pPr>
        <w:pStyle w:val="57"/>
        <w:ind w:firstLine="420"/>
      </w:pPr>
      <w:r>
        <w:rPr>
          <w:rFonts w:hint="eastAsia"/>
        </w:rPr>
        <w:t>本文件由山东省农业标准化技术委员会归口。</w:t>
      </w:r>
    </w:p>
    <w:p w14:paraId="2552B095">
      <w:pPr>
        <w:pStyle w:val="57"/>
        <w:ind w:firstLine="420"/>
        <w:sectPr>
          <w:headerReference r:id="rId11" w:type="default"/>
          <w:footerReference r:id="rId13" w:type="default"/>
          <w:headerReference r:id="rId12" w:type="even"/>
          <w:pgSz w:w="11906" w:h="16838"/>
          <w:pgMar w:top="2410" w:right="1134" w:bottom="1134" w:left="1134" w:header="1418" w:footer="1134" w:gutter="284"/>
          <w:pgNumType w:fmt="upperRoman"/>
          <w:cols w:space="425" w:num="1"/>
          <w:formProt w:val="0"/>
          <w:docGrid w:type="lines" w:linePitch="312" w:charSpace="0"/>
        </w:sectPr>
      </w:pPr>
    </w:p>
    <w:bookmarkEnd w:id="18"/>
    <w:p w14:paraId="704D0397">
      <w:pPr>
        <w:pStyle w:val="90"/>
        <w:spacing w:after="468"/>
      </w:pPr>
      <w:bookmarkStart w:id="19" w:name="BookMark3"/>
      <w:r>
        <w:rPr>
          <w:spacing w:val="320"/>
        </w:rPr>
        <w:t>引</w:t>
      </w:r>
      <w:r>
        <w:t>言</w:t>
      </w:r>
    </w:p>
    <w:p w14:paraId="558FB24A">
      <w:pPr>
        <w:pStyle w:val="57"/>
        <w:ind w:firstLine="420"/>
      </w:pPr>
      <w:r>
        <w:rPr>
          <w:rFonts w:hint="eastAsia"/>
        </w:rPr>
        <w:t>山东是食用菌生产大省，但是山东省食用菌生产方式仍以分散式生产为主，存在着生产管理技术水平参差不齐、劳动强度大，食用菌的产量、品质和栽培效益差异较大，农残、重金属超标限制了出口等问题，使食用菌生产者和经营者蒙受了较大的经济损失，制约着我省食用菌产业持续健康的发展，迫切需要规范不同食用菌的轻简化生产技术，建立与山东省生产实际相适应的技术标准体系。</w:t>
      </w:r>
    </w:p>
    <w:p w14:paraId="04B7933C">
      <w:pPr>
        <w:pStyle w:val="57"/>
        <w:ind w:firstLine="420"/>
        <w:rPr>
          <w:color w:val="000000" w:themeColor="text1"/>
          <w14:textFill>
            <w14:solidFill>
              <w14:schemeClr w14:val="tx1"/>
            </w14:solidFill>
          </w14:textFill>
        </w:rPr>
      </w:pPr>
      <w:r>
        <w:rPr>
          <w:rFonts w:hint="eastAsia"/>
        </w:rPr>
        <w:t>针对灵芝品种，制定《灵芝轻简化生产技术规程》标准对其生产技术提出要求，</w:t>
      </w:r>
      <w:r>
        <w:rPr>
          <w:rFonts w:hint="eastAsia"/>
          <w:color w:val="000000" w:themeColor="text1"/>
          <w14:textFill>
            <w14:solidFill>
              <w14:schemeClr w14:val="tx1"/>
            </w14:solidFill>
          </w14:textFill>
        </w:rPr>
        <w:t>规定了灵芝</w:t>
      </w:r>
      <w:r>
        <w:rPr>
          <w:rFonts w:hint="eastAsia"/>
          <w:color w:val="000000" w:themeColor="text1"/>
          <w:szCs w:val="21"/>
          <w14:textFill>
            <w14:solidFill>
              <w14:schemeClr w14:val="tx1"/>
            </w14:solidFill>
          </w14:textFill>
        </w:rPr>
        <w:t>（</w:t>
      </w:r>
      <w:r>
        <w:rPr>
          <w:i/>
          <w:iCs/>
          <w:color w:val="000000" w:themeColor="text1"/>
          <w:szCs w:val="21"/>
          <w14:textFill>
            <w14:solidFill>
              <w14:schemeClr w14:val="tx1"/>
            </w14:solidFill>
          </w14:textFill>
        </w:rPr>
        <w:t>Ganoderma</w:t>
      </w:r>
      <w:r>
        <w:rPr>
          <w:rFonts w:hint="eastAsia"/>
          <w:i/>
          <w:iCs/>
          <w:color w:val="000000" w:themeColor="text1"/>
          <w:szCs w:val="21"/>
          <w14:textFill>
            <w14:solidFill>
              <w14:schemeClr w14:val="tx1"/>
            </w14:solidFill>
          </w14:textFill>
        </w:rPr>
        <w:t xml:space="preserve"> lingzhi</w:t>
      </w:r>
      <w:r>
        <w:rPr>
          <w:rFonts w:hint="eastAsia"/>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生产</w:t>
      </w:r>
      <w:r>
        <w:rPr>
          <w:color w:val="000000" w:themeColor="text1"/>
          <w14:textFill>
            <w14:solidFill>
              <w14:schemeClr w14:val="tx1"/>
            </w14:solidFill>
          </w14:textFill>
        </w:rPr>
        <w:t>的</w:t>
      </w:r>
      <w:r>
        <w:rPr>
          <w:rFonts w:hint="eastAsia"/>
          <w:color w:val="000000" w:themeColor="text1"/>
          <w14:textFill>
            <w14:solidFill>
              <w14:schemeClr w14:val="tx1"/>
            </w14:solidFill>
          </w14:textFill>
        </w:rPr>
        <w:t>产地</w:t>
      </w:r>
      <w:r>
        <w:rPr>
          <w:color w:val="000000" w:themeColor="text1"/>
          <w14:textFill>
            <w14:solidFill>
              <w14:schemeClr w14:val="tx1"/>
            </w14:solidFill>
          </w14:textFill>
        </w:rPr>
        <w:t>环境、</w:t>
      </w:r>
      <w:r>
        <w:rPr>
          <w:rFonts w:hint="eastAsia"/>
          <w:color w:val="000000" w:themeColor="text1"/>
          <w14:textFill>
            <w14:solidFill>
              <w14:schemeClr w14:val="tx1"/>
            </w14:solidFill>
          </w14:textFill>
        </w:rPr>
        <w:t>设施与设备、生产</w:t>
      </w:r>
      <w:r>
        <w:rPr>
          <w:color w:val="000000" w:themeColor="text1"/>
          <w14:textFill>
            <w14:solidFill>
              <w14:schemeClr w14:val="tx1"/>
            </w14:solidFill>
          </w14:textFill>
        </w:rPr>
        <w:t>原料、</w:t>
      </w:r>
      <w:r>
        <w:rPr>
          <w:rFonts w:hint="eastAsia"/>
          <w:color w:val="000000" w:themeColor="text1"/>
          <w14:textFill>
            <w14:solidFill>
              <w14:schemeClr w14:val="tx1"/>
            </w14:solidFill>
          </w14:textFill>
        </w:rPr>
        <w:t>生产技术要求</w:t>
      </w:r>
      <w:r>
        <w:rPr>
          <w:color w:val="000000" w:themeColor="text1"/>
          <w14:textFill>
            <w14:solidFill>
              <w14:schemeClr w14:val="tx1"/>
            </w14:solidFill>
          </w14:textFill>
        </w:rPr>
        <w:t>、病虫害防治</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生产档案</w:t>
      </w:r>
      <w:r>
        <w:rPr>
          <w:rFonts w:hint="eastAsia"/>
          <w:color w:val="000000" w:themeColor="text1"/>
          <w14:textFill>
            <w14:solidFill>
              <w14:schemeClr w14:val="tx1"/>
            </w14:solidFill>
          </w14:textFill>
        </w:rPr>
        <w:t>的</w:t>
      </w:r>
      <w:r>
        <w:rPr>
          <w:color w:val="000000" w:themeColor="text1"/>
          <w14:textFill>
            <w14:solidFill>
              <w14:schemeClr w14:val="tx1"/>
            </w14:solidFill>
          </w14:textFill>
        </w:rPr>
        <w:t>要求</w:t>
      </w:r>
      <w:r>
        <w:rPr>
          <w:rFonts w:hint="eastAsia"/>
          <w:color w:val="000000" w:themeColor="text1"/>
          <w14:textFill>
            <w14:solidFill>
              <w14:schemeClr w14:val="tx1"/>
            </w14:solidFill>
          </w14:textFill>
        </w:rPr>
        <w:t>。</w:t>
      </w:r>
    </w:p>
    <w:p w14:paraId="119809D1">
      <w:pPr>
        <w:pStyle w:val="57"/>
        <w:ind w:firstLine="420"/>
        <w:rPr>
          <w:rFonts w:ascii="黑体" w:hAnsi="黑体" w:eastAsia="黑体"/>
          <w:sz w:val="32"/>
          <w:szCs w:val="32"/>
        </w:rPr>
      </w:pPr>
      <w:r>
        <w:rPr>
          <w:rFonts w:hint="eastAsia"/>
        </w:rPr>
        <w:t>制定实施灵芝轻简化生产技术规程，有利于各地按技术要求进行操作，能够提升标准化生产水平和生产效益，提高产品的产量、品质，增加产品的竞争力，确保食品质量安全，促进我省灵芝产业高质高效发展。</w:t>
      </w:r>
      <w:bookmarkEnd w:id="19"/>
      <w:bookmarkStart w:id="20" w:name="BookMark4"/>
    </w:p>
    <w:p w14:paraId="10BD4011">
      <w:pPr>
        <w:pStyle w:val="57"/>
        <w:ind w:firstLine="420"/>
      </w:pPr>
    </w:p>
    <w:p w14:paraId="474F74F0">
      <w:pPr>
        <w:pStyle w:val="57"/>
        <w:ind w:firstLine="640"/>
        <w:rPr>
          <w:rFonts w:eastAsia="黑体"/>
          <w:sz w:val="32"/>
          <w:szCs w:val="32"/>
        </w:rPr>
      </w:pPr>
    </w:p>
    <w:p w14:paraId="4E45EDD5">
      <w:pPr>
        <w:pStyle w:val="57"/>
        <w:ind w:firstLine="420"/>
      </w:pPr>
    </w:p>
    <w:p w14:paraId="6BC1EBA1">
      <w:pPr>
        <w:pStyle w:val="57"/>
        <w:ind w:firstLine="640"/>
        <w:rPr>
          <w:rFonts w:eastAsia="黑体"/>
          <w:sz w:val="32"/>
          <w:szCs w:val="32"/>
        </w:rPr>
      </w:pPr>
    </w:p>
    <w:p w14:paraId="097964DF">
      <w:pPr>
        <w:pStyle w:val="57"/>
        <w:ind w:firstLine="420"/>
      </w:pPr>
    </w:p>
    <w:p w14:paraId="111F6959">
      <w:pPr>
        <w:rPr>
          <w:rFonts w:ascii="黑体" w:hAnsi="黑体" w:eastAsia="黑体"/>
          <w:sz w:val="32"/>
          <w:szCs w:val="32"/>
        </w:rPr>
        <w:sectPr>
          <w:pgSz w:w="11906" w:h="16838"/>
          <w:pgMar w:top="2410" w:right="1134" w:bottom="1134" w:left="1134" w:header="1418" w:footer="1134" w:gutter="284"/>
          <w:pgNumType w:start="1"/>
          <w:cols w:space="425" w:num="1"/>
          <w:formProt w:val="0"/>
          <w:docGrid w:type="lines" w:linePitch="312" w:charSpace="0"/>
        </w:sectPr>
      </w:pPr>
    </w:p>
    <w:p w14:paraId="7D1946DB">
      <w:pPr>
        <w:spacing w:line="20" w:lineRule="exact"/>
        <w:jc w:val="center"/>
        <w:rPr>
          <w:rFonts w:ascii="黑体" w:hAnsi="黑体" w:eastAsia="黑体"/>
          <w:sz w:val="32"/>
          <w:szCs w:val="32"/>
        </w:rPr>
      </w:pPr>
    </w:p>
    <w:sdt>
      <w:sdtPr>
        <w:tag w:val="NEW_STAND_NAME"/>
        <w:id w:val="595910757"/>
        <w:lock w:val="sdtLocked"/>
        <w:placeholder>
          <w:docPart w:val="6707A722EF3A4694B23907FB04ECFF4A"/>
        </w:placeholder>
      </w:sdtPr>
      <w:sdtContent>
        <w:p w14:paraId="4DC0435B">
          <w:pPr>
            <w:pStyle w:val="178"/>
            <w:spacing w:before="312" w:beforeLines="100" w:after="686" w:afterLines="220"/>
          </w:pPr>
          <w:bookmarkStart w:id="21" w:name="NEW_STAND_NAME"/>
          <w:r>
            <w:rPr>
              <w:rFonts w:hint="eastAsia"/>
            </w:rPr>
            <w:t>灵芝轻简化生产技术规程</w:t>
          </w:r>
        </w:p>
      </w:sdtContent>
    </w:sdt>
    <w:bookmarkEnd w:id="21"/>
    <w:p w14:paraId="63E4E761">
      <w:pPr>
        <w:pStyle w:val="105"/>
        <w:spacing w:before="312" w:after="312"/>
        <w:ind w:left="0"/>
      </w:pPr>
      <w:bookmarkStart w:id="22" w:name="_Toc14218"/>
      <w:bookmarkStart w:id="23" w:name="_Toc17233333"/>
      <w:bookmarkStart w:id="24" w:name="_Toc17233325"/>
      <w:bookmarkStart w:id="25" w:name="_Toc24884211"/>
      <w:bookmarkStart w:id="26" w:name="_Toc26648465"/>
      <w:bookmarkStart w:id="27" w:name="_Toc26986530"/>
      <w:bookmarkStart w:id="28" w:name="_Toc26986771"/>
      <w:bookmarkStart w:id="29" w:name="_Toc26718930"/>
      <w:bookmarkStart w:id="30" w:name="_Toc24884218"/>
      <w:r>
        <w:rPr>
          <w:rFonts w:hint="eastAsia"/>
        </w:rPr>
        <w:t>范围</w:t>
      </w:r>
      <w:bookmarkEnd w:id="22"/>
    </w:p>
    <w:p w14:paraId="5F8D4E9A">
      <w:pPr>
        <w:pStyle w:val="57"/>
        <w:ind w:firstLine="420"/>
      </w:pPr>
      <w:r>
        <w:t>本</w:t>
      </w:r>
      <w:r>
        <w:rPr>
          <w:rFonts w:hint="eastAsia"/>
        </w:rPr>
        <w:t>文件</w:t>
      </w:r>
      <w:r>
        <w:t>规定了</w:t>
      </w:r>
      <w:bookmarkStart w:id="31" w:name="_Hlk157937127"/>
      <w:r>
        <w:rPr>
          <w:rFonts w:hint="eastAsia"/>
        </w:rPr>
        <w:t>灵芝</w:t>
      </w:r>
      <w:r>
        <w:rPr>
          <w:rFonts w:hint="eastAsia"/>
          <w:color w:val="000000" w:themeColor="text1"/>
          <w:szCs w:val="21"/>
          <w14:textFill>
            <w14:solidFill>
              <w14:schemeClr w14:val="tx1"/>
            </w14:solidFill>
          </w14:textFill>
        </w:rPr>
        <w:t>（</w:t>
      </w:r>
      <w:r>
        <w:rPr>
          <w:i/>
          <w:iCs/>
          <w:color w:val="000000" w:themeColor="text1"/>
          <w:szCs w:val="21"/>
          <w14:textFill>
            <w14:solidFill>
              <w14:schemeClr w14:val="tx1"/>
            </w14:solidFill>
          </w14:textFill>
        </w:rPr>
        <w:t>Ganoderma</w:t>
      </w:r>
      <w:r>
        <w:rPr>
          <w:rFonts w:hint="eastAsia"/>
          <w:i/>
          <w:iCs/>
          <w:color w:val="000000" w:themeColor="text1"/>
          <w:szCs w:val="21"/>
          <w14:textFill>
            <w14:solidFill>
              <w14:schemeClr w14:val="tx1"/>
            </w14:solidFill>
          </w14:textFill>
        </w:rPr>
        <w:t xml:space="preserve"> lingzhi</w:t>
      </w:r>
      <w:r>
        <w:rPr>
          <w:rFonts w:hint="eastAsia"/>
          <w:color w:val="000000" w:themeColor="text1"/>
          <w:szCs w:val="21"/>
          <w14:textFill>
            <w14:solidFill>
              <w14:schemeClr w14:val="tx1"/>
            </w14:solidFill>
          </w14:textFill>
        </w:rPr>
        <w:t>）</w:t>
      </w:r>
      <w:r>
        <w:rPr>
          <w:rFonts w:hint="eastAsia"/>
        </w:rPr>
        <w:t>生产</w:t>
      </w:r>
      <w:r>
        <w:t>的</w:t>
      </w:r>
      <w:r>
        <w:rPr>
          <w:rFonts w:hint="eastAsia"/>
        </w:rPr>
        <w:t>产地</w:t>
      </w:r>
      <w:r>
        <w:t>环境、</w:t>
      </w:r>
      <w:r>
        <w:rPr>
          <w:rFonts w:hint="eastAsia"/>
        </w:rPr>
        <w:t>设施与设备、生产</w:t>
      </w:r>
      <w:r>
        <w:t>原料、</w:t>
      </w:r>
      <w:r>
        <w:rPr>
          <w:rFonts w:hint="eastAsia"/>
        </w:rPr>
        <w:t>生产技术要求</w:t>
      </w:r>
      <w:r>
        <w:t>、病虫害防治</w:t>
      </w:r>
      <w:r>
        <w:rPr>
          <w:rFonts w:hint="eastAsia"/>
        </w:rPr>
        <w:t>和</w:t>
      </w:r>
      <w:r>
        <w:t>生产档案</w:t>
      </w:r>
      <w:r>
        <w:rPr>
          <w:rFonts w:hint="eastAsia"/>
        </w:rPr>
        <w:t>的</w:t>
      </w:r>
      <w:r>
        <w:t>要求</w:t>
      </w:r>
      <w:bookmarkEnd w:id="31"/>
      <w:r>
        <w:t>。</w:t>
      </w:r>
    </w:p>
    <w:p w14:paraId="4B0D4608">
      <w:pPr>
        <w:pStyle w:val="57"/>
        <w:ind w:firstLine="420"/>
      </w:pPr>
      <w:r>
        <w:t>本</w:t>
      </w:r>
      <w:r>
        <w:rPr>
          <w:rFonts w:hint="eastAsia"/>
        </w:rPr>
        <w:t>文件</w:t>
      </w:r>
      <w:r>
        <w:t>适用于</w:t>
      </w:r>
      <w:r>
        <w:rPr>
          <w:rFonts w:hint="eastAsia"/>
        </w:rPr>
        <w:t>代料灵芝生产</w:t>
      </w:r>
      <w:r>
        <w:t>。</w:t>
      </w:r>
    </w:p>
    <w:p w14:paraId="574483CF">
      <w:pPr>
        <w:pStyle w:val="105"/>
        <w:spacing w:before="312" w:after="312"/>
        <w:ind w:left="0"/>
      </w:pPr>
      <w:bookmarkStart w:id="32" w:name="_Toc15401"/>
      <w:r>
        <w:rPr>
          <w:rFonts w:hint="eastAsia"/>
        </w:rPr>
        <w:t>规范性引用文件</w:t>
      </w:r>
      <w:bookmarkEnd w:id="32"/>
    </w:p>
    <w:p w14:paraId="7A819368">
      <w:pPr>
        <w:pStyle w:val="57"/>
        <w:ind w:firstLine="420"/>
      </w:pPr>
      <w:r>
        <w:t>下列文件中的内容通过文中的规范性引用而构成本文件必不可少的条款</w:t>
      </w:r>
      <w:r>
        <w:rPr>
          <w:rFonts w:hint="eastAsia"/>
        </w:rPr>
        <w:t>。</w:t>
      </w:r>
      <w:r>
        <w:t>其中</w:t>
      </w:r>
      <w:r>
        <w:rPr>
          <w:rFonts w:hint="eastAsia"/>
        </w:rPr>
        <w:t>，</w:t>
      </w:r>
      <w:r>
        <w:t>注日期的引用文件， 仅该日期对应的版本适用于本文件；不注日期的引用文件，其最新版本（包括所有的修改单）适用于本文件。</w:t>
      </w:r>
    </w:p>
    <w:p w14:paraId="5800FC9C">
      <w:pPr>
        <w:pStyle w:val="57"/>
        <w:ind w:firstLine="420"/>
      </w:pPr>
      <w:r>
        <w:t>GB 4</w:t>
      </w:r>
      <w:r>
        <w:rPr>
          <w:rFonts w:hint="eastAsia"/>
        </w:rPr>
        <w:t xml:space="preserve">806.7  食品安全国家标准 </w:t>
      </w:r>
      <w:r>
        <w:t xml:space="preserve"> </w:t>
      </w:r>
      <w:r>
        <w:rPr>
          <w:rFonts w:hint="eastAsia"/>
        </w:rPr>
        <w:t>食品接触用塑料材料及制品</w:t>
      </w:r>
    </w:p>
    <w:p w14:paraId="38E7C204">
      <w:pPr>
        <w:pStyle w:val="57"/>
        <w:ind w:firstLine="420"/>
      </w:pPr>
      <w:r>
        <w:t>GB 5749  生活饮用水卫生标准</w:t>
      </w:r>
    </w:p>
    <w:p w14:paraId="2E0AE906">
      <w:pPr>
        <w:pStyle w:val="57"/>
        <w:ind w:firstLine="420"/>
      </w:pPr>
      <w:r>
        <w:t>GB/T 12728  食用菌术语</w:t>
      </w:r>
    </w:p>
    <w:p w14:paraId="739A4F49">
      <w:pPr>
        <w:pStyle w:val="57"/>
        <w:ind w:firstLine="420"/>
      </w:pPr>
      <w:r>
        <w:t xml:space="preserve">GB/T </w:t>
      </w:r>
      <w:r>
        <w:rPr>
          <w:rFonts w:hint="eastAsia"/>
        </w:rPr>
        <w:t>29344  灵芝孢子粉采收及加工技术规范</w:t>
      </w:r>
    </w:p>
    <w:p w14:paraId="01E0A7FF">
      <w:pPr>
        <w:pStyle w:val="57"/>
        <w:ind w:firstLine="420"/>
      </w:pPr>
      <w:r>
        <w:rPr>
          <w:rFonts w:hint="eastAsia"/>
        </w:rPr>
        <w:t xml:space="preserve">NY/T 391　绿色食品 </w:t>
      </w:r>
      <w:r>
        <w:t xml:space="preserve"> </w:t>
      </w:r>
      <w:r>
        <w:rPr>
          <w:rFonts w:hint="eastAsia"/>
        </w:rPr>
        <w:t>产地环境质量</w:t>
      </w:r>
    </w:p>
    <w:p w14:paraId="22999A82">
      <w:pPr>
        <w:pStyle w:val="57"/>
        <w:ind w:firstLine="420"/>
      </w:pPr>
      <w:r>
        <w:rPr>
          <w:rFonts w:hint="eastAsia"/>
        </w:rPr>
        <w:t xml:space="preserve">NY/T 393　绿色食品 </w:t>
      </w:r>
      <w:r>
        <w:t xml:space="preserve"> </w:t>
      </w:r>
      <w:r>
        <w:rPr>
          <w:rFonts w:hint="eastAsia"/>
        </w:rPr>
        <w:t>农药使用准则</w:t>
      </w:r>
    </w:p>
    <w:p w14:paraId="79C941E5">
      <w:pPr>
        <w:pStyle w:val="57"/>
        <w:ind w:firstLine="420"/>
      </w:pPr>
      <w:r>
        <w:t>NY/T 528  食用菌菌种生产技术规程</w:t>
      </w:r>
    </w:p>
    <w:p w14:paraId="38F1E8C6">
      <w:pPr>
        <w:pStyle w:val="57"/>
        <w:ind w:firstLine="420"/>
      </w:pPr>
      <w:r>
        <w:t>NY/T 1276  农药安全使用规范</w:t>
      </w:r>
      <w:r>
        <w:rPr>
          <w:rFonts w:hint="eastAsia"/>
        </w:rPr>
        <w:t xml:space="preserve"> </w:t>
      </w:r>
      <w:r>
        <w:t xml:space="preserve"> 总则</w:t>
      </w:r>
    </w:p>
    <w:p w14:paraId="337BD410">
      <w:pPr>
        <w:pStyle w:val="57"/>
        <w:ind w:firstLine="420"/>
      </w:pPr>
      <w:r>
        <w:rPr>
          <w:rFonts w:hint="eastAsia"/>
        </w:rPr>
        <w:t>NY/T 1742  食用菌菌种通用技术要求</w:t>
      </w:r>
    </w:p>
    <w:p w14:paraId="30834560">
      <w:pPr>
        <w:pStyle w:val="57"/>
        <w:ind w:firstLine="420"/>
      </w:pPr>
      <w:bookmarkStart w:id="33" w:name="OLE_LINK1"/>
      <w:r>
        <w:rPr>
          <w:rFonts w:hint="eastAsia"/>
        </w:rPr>
        <w:t>NY/T 1935</w:t>
      </w:r>
      <w:bookmarkEnd w:id="33"/>
      <w:r>
        <w:rPr>
          <w:rFonts w:hint="eastAsia"/>
        </w:rPr>
        <w:t>　食用菌栽培基质质量安全要求</w:t>
      </w:r>
    </w:p>
    <w:p w14:paraId="37094C5E">
      <w:pPr>
        <w:pStyle w:val="105"/>
        <w:spacing w:before="312" w:after="312"/>
        <w:ind w:left="0"/>
      </w:pPr>
      <w:bookmarkStart w:id="34" w:name="_Toc27005"/>
      <w:r>
        <w:rPr>
          <w:rFonts w:hint="eastAsia"/>
        </w:rPr>
        <w:t>术语和定义</w:t>
      </w:r>
      <w:bookmarkEnd w:id="34"/>
    </w:p>
    <w:p w14:paraId="7AC3797A">
      <w:pPr>
        <w:pStyle w:val="57"/>
        <w:ind w:firstLine="420"/>
      </w:pPr>
      <w:r>
        <w:t>GB/T 12728界定的</w:t>
      </w:r>
      <w:r>
        <w:rPr>
          <w:rFonts w:hint="eastAsia"/>
        </w:rPr>
        <w:t>以及下列术语和定义适用于本文件。</w:t>
      </w:r>
    </w:p>
    <w:p w14:paraId="38183A87">
      <w:pPr>
        <w:pStyle w:val="224"/>
        <w:ind w:left="420" w:hanging="420" w:hangingChars="200"/>
        <w:outlineLvl w:val="1"/>
        <w:rPr>
          <w:rFonts w:ascii="黑体" w:hAnsi="黑体" w:eastAsia="黑体"/>
          <w:szCs w:val="21"/>
        </w:rPr>
      </w:pPr>
      <w:r>
        <w:rPr>
          <w:rFonts w:ascii="黑体" w:hAnsi="黑体" w:eastAsia="黑体"/>
        </w:rPr>
        <w:br w:type="textWrapping"/>
      </w:r>
      <w:r>
        <w:rPr>
          <w:rFonts w:hint="eastAsia" w:ascii="黑体" w:hAnsi="黑体" w:eastAsia="黑体"/>
          <w:szCs w:val="21"/>
        </w:rPr>
        <w:t xml:space="preserve">定点出芝 </w:t>
      </w:r>
      <w:r>
        <w:rPr>
          <w:rFonts w:ascii="黑体" w:hAnsi="黑体" w:eastAsia="黑体"/>
          <w:szCs w:val="21"/>
        </w:rPr>
        <w:t xml:space="preserve"> </w:t>
      </w:r>
      <w:r>
        <w:rPr>
          <w:rFonts w:hint="eastAsia" w:ascii="黑体" w:hAnsi="黑体" w:eastAsia="黑体" w:cs="Arial"/>
        </w:rPr>
        <w:t xml:space="preserve">spot produces </w:t>
      </w:r>
      <w:r>
        <w:rPr>
          <w:rFonts w:hint="eastAsia" w:ascii="黑体" w:hAnsi="黑体" w:eastAsia="黑体"/>
          <w:i/>
          <w:iCs/>
        </w:rPr>
        <w:t>G</w:t>
      </w:r>
      <w:r>
        <w:rPr>
          <w:rFonts w:ascii="黑体" w:hAnsi="黑体" w:eastAsia="黑体"/>
          <w:i/>
          <w:iCs/>
        </w:rPr>
        <w:t>anoderma</w:t>
      </w:r>
      <w:r>
        <w:rPr>
          <w:rFonts w:hint="eastAsia" w:ascii="黑体" w:hAnsi="黑体" w:eastAsia="黑体"/>
          <w:i/>
          <w:iCs/>
        </w:rPr>
        <w:t xml:space="preserve"> lingzhi</w:t>
      </w:r>
    </w:p>
    <w:p w14:paraId="148A149A">
      <w:pPr>
        <w:pStyle w:val="57"/>
        <w:ind w:firstLine="420"/>
      </w:pPr>
      <w:r>
        <w:rPr>
          <w:rFonts w:hint="eastAsia"/>
        </w:rPr>
        <w:t>灵芝子实体从指定点位分化生长的出芝方式。</w:t>
      </w:r>
    </w:p>
    <w:p w14:paraId="10451D55">
      <w:pPr>
        <w:pStyle w:val="105"/>
        <w:spacing w:before="312" w:after="312"/>
        <w:ind w:left="0"/>
      </w:pPr>
      <w:bookmarkStart w:id="35" w:name="_Toc32028"/>
      <w:r>
        <w:rPr>
          <w:rFonts w:hint="eastAsia"/>
        </w:rPr>
        <w:t>产地环境</w:t>
      </w:r>
      <w:bookmarkEnd w:id="35"/>
    </w:p>
    <w:p w14:paraId="468300FF">
      <w:pPr>
        <w:pStyle w:val="106"/>
        <w:spacing w:before="156" w:after="156"/>
      </w:pPr>
      <w:bookmarkStart w:id="36" w:name="_Toc18397"/>
      <w:r>
        <w:rPr>
          <w:rFonts w:hint="eastAsia"/>
        </w:rPr>
        <w:t>产地要求</w:t>
      </w:r>
      <w:bookmarkEnd w:id="36"/>
    </w:p>
    <w:p w14:paraId="2ACA1C8A">
      <w:pPr>
        <w:pStyle w:val="57"/>
        <w:ind w:firstLine="420"/>
      </w:pPr>
      <w:r>
        <w:t>地势平坦开阔</w:t>
      </w:r>
      <w:r>
        <w:rPr>
          <w:rFonts w:hint="eastAsia"/>
        </w:rPr>
        <w:t>、</w:t>
      </w:r>
      <w:r>
        <w:t>交通便利，环境清洁、</w:t>
      </w:r>
      <w:r>
        <w:rPr>
          <w:rFonts w:hint="eastAsia"/>
        </w:rPr>
        <w:t>通风良好、光照适宜，</w:t>
      </w:r>
      <w:r>
        <w:t>给排水方便</w:t>
      </w:r>
      <w:r>
        <w:rPr>
          <w:rFonts w:hint="eastAsia"/>
        </w:rPr>
        <w:t>。</w:t>
      </w:r>
    </w:p>
    <w:p w14:paraId="26B5B52C">
      <w:pPr>
        <w:pStyle w:val="106"/>
        <w:spacing w:before="156" w:after="156"/>
      </w:pPr>
      <w:bookmarkStart w:id="37" w:name="_Toc3441"/>
      <w:r>
        <w:rPr>
          <w:rFonts w:hint="eastAsia"/>
        </w:rPr>
        <w:t>环境要求</w:t>
      </w:r>
      <w:bookmarkEnd w:id="37"/>
    </w:p>
    <w:p w14:paraId="23F42710">
      <w:pPr>
        <w:pStyle w:val="57"/>
        <w:ind w:firstLine="420"/>
      </w:pPr>
      <w:r>
        <w:t>远离工矿业</w:t>
      </w:r>
      <w:r>
        <w:rPr>
          <w:rFonts w:hAnsi="宋体"/>
        </w:rPr>
        <w:t>的“三废”</w:t>
      </w:r>
      <w:r>
        <w:rPr>
          <w:rFonts w:hint="eastAsia" w:hAnsi="宋体"/>
        </w:rPr>
        <w:t>，</w:t>
      </w:r>
      <w:r>
        <w:rPr>
          <w:rFonts w:hAnsi="宋体"/>
        </w:rPr>
        <w:t>至少300</w:t>
      </w:r>
      <w:r>
        <w:rPr>
          <w:rFonts w:hint="eastAsia" w:ascii="MS Mincho" w:hAnsi="MS Mincho" w:eastAsia="MS Mincho" w:cs="MS Mincho"/>
        </w:rPr>
        <w:t> </w:t>
      </w:r>
      <w:r>
        <w:rPr>
          <w:rFonts w:hAnsi="宋体"/>
        </w:rPr>
        <w:t>m</w:t>
      </w:r>
      <w:r>
        <w:rPr>
          <w:rFonts w:hint="eastAsia" w:hAnsi="宋体"/>
        </w:rPr>
        <w:t>内</w:t>
      </w:r>
      <w:r>
        <w:rPr>
          <w:rFonts w:hAnsi="宋体"/>
        </w:rPr>
        <w:t>无禽畜养殖场、垃圾场</w:t>
      </w:r>
      <w:r>
        <w:rPr>
          <w:rFonts w:hint="eastAsia" w:hAnsi="宋体"/>
        </w:rPr>
        <w:t>，</w:t>
      </w:r>
      <w:r>
        <w:rPr>
          <w:rFonts w:hAnsi="宋体"/>
        </w:rPr>
        <w:t>无污水和其它污染源。产地环境</w:t>
      </w:r>
      <w:r>
        <w:rPr>
          <w:rFonts w:hint="eastAsia" w:hAnsi="宋体"/>
        </w:rPr>
        <w:t>质量</w:t>
      </w:r>
      <w:r>
        <w:rPr>
          <w:rFonts w:hAnsi="宋体"/>
        </w:rPr>
        <w:t>应符合</w:t>
      </w:r>
      <w:r>
        <w:rPr>
          <w:rFonts w:hint="eastAsia" w:hAnsi="宋体"/>
        </w:rPr>
        <w:t>NY/T 391</w:t>
      </w:r>
      <w:r>
        <w:rPr>
          <w:rFonts w:hAnsi="宋体"/>
        </w:rPr>
        <w:t>的规定。</w:t>
      </w:r>
    </w:p>
    <w:p w14:paraId="688B4EA0">
      <w:pPr>
        <w:pStyle w:val="105"/>
        <w:spacing w:before="312" w:after="312"/>
        <w:ind w:left="0"/>
      </w:pPr>
      <w:bookmarkStart w:id="38" w:name="_Toc26401"/>
      <w:r>
        <w:rPr>
          <w:rFonts w:hint="eastAsia"/>
        </w:rPr>
        <w:t>设施与设备</w:t>
      </w:r>
      <w:bookmarkEnd w:id="38"/>
    </w:p>
    <w:p w14:paraId="43544AB5">
      <w:pPr>
        <w:pStyle w:val="106"/>
        <w:spacing w:before="156" w:after="156"/>
      </w:pPr>
      <w:bookmarkStart w:id="39" w:name="_Toc18168"/>
      <w:r>
        <w:rPr>
          <w:rFonts w:hint="eastAsia"/>
        </w:rPr>
        <w:t>原料库</w:t>
      </w:r>
      <w:bookmarkEnd w:id="39"/>
    </w:p>
    <w:p w14:paraId="13C2E1E4">
      <w:pPr>
        <w:pStyle w:val="166"/>
      </w:pPr>
      <w:r>
        <w:rPr>
          <w:rFonts w:hint="eastAsia"/>
        </w:rPr>
        <w:t>地势高爽，</w:t>
      </w:r>
      <w:r>
        <w:t>应防火、防雨、防潮、防虫、防鼠</w:t>
      </w:r>
      <w:r>
        <w:rPr>
          <w:rFonts w:hint="eastAsia"/>
        </w:rPr>
        <w:t>，</w:t>
      </w:r>
      <w:r>
        <w:t>通风</w:t>
      </w:r>
      <w:r>
        <w:rPr>
          <w:rFonts w:hint="eastAsia"/>
        </w:rPr>
        <w:t>良好</w:t>
      </w:r>
      <w:r>
        <w:t>，地面应硬化。</w:t>
      </w:r>
    </w:p>
    <w:p w14:paraId="36609D07">
      <w:pPr>
        <w:pStyle w:val="166"/>
      </w:pPr>
      <w:r>
        <w:rPr>
          <w:rFonts w:hint="eastAsia"/>
        </w:rPr>
        <w:t>不应存放有害物质。</w:t>
      </w:r>
    </w:p>
    <w:p w14:paraId="3374EE09">
      <w:pPr>
        <w:pStyle w:val="106"/>
        <w:spacing w:before="156" w:after="156"/>
      </w:pPr>
      <w:bookmarkStart w:id="40" w:name="_Toc23596"/>
      <w:r>
        <w:rPr>
          <w:rFonts w:hint="eastAsia"/>
        </w:rPr>
        <w:t>菌袋生产车间</w:t>
      </w:r>
      <w:bookmarkEnd w:id="40"/>
    </w:p>
    <w:p w14:paraId="27DC969A">
      <w:pPr>
        <w:pStyle w:val="166"/>
      </w:pPr>
      <w:r>
        <w:rPr>
          <w:rFonts w:hint="eastAsia"/>
        </w:rPr>
        <w:t>空间充足、通风良好，地面应硬化、平坦，水电源方便，设有下水道。</w:t>
      </w:r>
    </w:p>
    <w:p w14:paraId="548A68C9">
      <w:pPr>
        <w:pStyle w:val="166"/>
      </w:pPr>
      <w:r>
        <w:rPr>
          <w:rFonts w:hint="eastAsia"/>
        </w:rPr>
        <w:t>配有拌料机、装袋机、灭菌锅等与日生产量相匹配的设施设备。</w:t>
      </w:r>
    </w:p>
    <w:p w14:paraId="5CE2D4DD">
      <w:pPr>
        <w:pStyle w:val="106"/>
        <w:spacing w:before="156" w:after="156"/>
      </w:pPr>
      <w:bookmarkStart w:id="41" w:name="_Toc19481"/>
      <w:r>
        <w:rPr>
          <w:rFonts w:hint="eastAsia"/>
        </w:rPr>
        <w:t>菌种培养室及接种室</w:t>
      </w:r>
      <w:bookmarkEnd w:id="41"/>
    </w:p>
    <w:p w14:paraId="050D0711">
      <w:pPr>
        <w:pStyle w:val="166"/>
      </w:pPr>
      <w:r>
        <w:rPr>
          <w:rFonts w:hint="eastAsia"/>
        </w:rPr>
        <w:t>固体菌种培养室及接种室应符合</w:t>
      </w:r>
      <w:r>
        <w:t>NY/T 528</w:t>
      </w:r>
      <w:r>
        <w:rPr>
          <w:rFonts w:hint="eastAsia"/>
        </w:rPr>
        <w:t>的规定。</w:t>
      </w:r>
    </w:p>
    <w:p w14:paraId="5FD4D66A">
      <w:pPr>
        <w:pStyle w:val="166"/>
      </w:pPr>
      <w:r>
        <w:rPr>
          <w:rFonts w:hint="eastAsia"/>
        </w:rPr>
        <w:t>液体菌种培养室应达到万级净化要求，接种室应达到千级净化要求，接种操作区应达到百级净化要求。</w:t>
      </w:r>
    </w:p>
    <w:p w14:paraId="0332860A">
      <w:pPr>
        <w:pStyle w:val="166"/>
      </w:pPr>
      <w:r>
        <w:rPr>
          <w:rFonts w:hint="eastAsia"/>
        </w:rPr>
        <w:t>按日生产量设置摇瓶室、液体菌种培养室、接种室，配备相应的发酵设施设备。</w:t>
      </w:r>
    </w:p>
    <w:p w14:paraId="444CE5D4">
      <w:pPr>
        <w:pStyle w:val="106"/>
        <w:spacing w:before="156" w:after="156"/>
      </w:pPr>
      <w:bookmarkStart w:id="42" w:name="_Toc17575"/>
      <w:r>
        <w:rPr>
          <w:rFonts w:hint="eastAsia"/>
        </w:rPr>
        <w:t>发菌场所</w:t>
      </w:r>
      <w:bookmarkEnd w:id="42"/>
    </w:p>
    <w:p w14:paraId="5519D8B3">
      <w:pPr>
        <w:pStyle w:val="166"/>
      </w:pPr>
      <w:r>
        <w:rPr>
          <w:rFonts w:hint="eastAsia"/>
        </w:rPr>
        <w:t>环境应清洁卫生、通风良好，暗光或黑暗，空气相对湿度50％</w:t>
      </w:r>
      <w:r>
        <w:t>～</w:t>
      </w:r>
      <w:r>
        <w:rPr>
          <w:rFonts w:hint="eastAsia"/>
        </w:rPr>
        <w:t>65％。</w:t>
      </w:r>
    </w:p>
    <w:p w14:paraId="5B9B1DF9">
      <w:pPr>
        <w:pStyle w:val="166"/>
      </w:pPr>
      <w:r>
        <w:rPr>
          <w:rFonts w:hint="eastAsia"/>
        </w:rPr>
        <w:t>发菌场所配有自动调温设备。</w:t>
      </w:r>
    </w:p>
    <w:p w14:paraId="68D9B637">
      <w:pPr>
        <w:pStyle w:val="106"/>
        <w:spacing w:before="156" w:after="156"/>
      </w:pPr>
      <w:bookmarkStart w:id="43" w:name="_Toc15662"/>
      <w:r>
        <w:rPr>
          <w:rFonts w:hint="eastAsia"/>
        </w:rPr>
        <w:t>出芝场所</w:t>
      </w:r>
      <w:bookmarkEnd w:id="43"/>
    </w:p>
    <w:p w14:paraId="0330573E">
      <w:pPr>
        <w:pStyle w:val="166"/>
      </w:pPr>
      <w:r>
        <w:rPr>
          <w:rFonts w:hint="eastAsia"/>
        </w:rPr>
        <w:t>简易拱棚、塑料大棚或日光温室。芝</w:t>
      </w:r>
      <w:r>
        <w:t>棚应保湿，空气流通</w:t>
      </w:r>
      <w:r>
        <w:rPr>
          <w:rFonts w:hint="eastAsia"/>
        </w:rPr>
        <w:t>好</w:t>
      </w:r>
      <w:r>
        <w:t>，无直射阳光，光线均匀，光照强度</w:t>
      </w:r>
      <w:r>
        <w:rPr>
          <w:rFonts w:hint="eastAsia"/>
        </w:rPr>
        <w:t>1</w:t>
      </w:r>
      <w:r>
        <w:t> </w:t>
      </w:r>
      <w:r>
        <w:rPr>
          <w:rFonts w:hint="eastAsia"/>
        </w:rPr>
        <w:t>000</w:t>
      </w:r>
      <w:r>
        <w:t> </w:t>
      </w:r>
      <w:r>
        <w:rPr>
          <w:rFonts w:hint="eastAsia"/>
        </w:rPr>
        <w:t>lx</w:t>
      </w:r>
      <w:r>
        <w:t>～</w:t>
      </w:r>
      <w:r>
        <w:rPr>
          <w:rFonts w:hint="eastAsia"/>
        </w:rPr>
        <w:t>2</w:t>
      </w:r>
      <w:r>
        <w:t> </w:t>
      </w:r>
      <w:r>
        <w:rPr>
          <w:rFonts w:hint="eastAsia"/>
        </w:rPr>
        <w:t>000</w:t>
      </w:r>
      <w:r>
        <w:t> </w:t>
      </w:r>
      <w:r>
        <w:rPr>
          <w:rFonts w:hint="eastAsia"/>
        </w:rPr>
        <w:t>lx。</w:t>
      </w:r>
    </w:p>
    <w:p w14:paraId="708F9147">
      <w:pPr>
        <w:pStyle w:val="166"/>
      </w:pPr>
      <w:r>
        <w:rPr>
          <w:rFonts w:hint="eastAsia"/>
        </w:rPr>
        <w:t>芝棚入口处建有缓冲间，</w:t>
      </w:r>
      <w:r>
        <w:t>通风</w:t>
      </w:r>
      <w:r>
        <w:rPr>
          <w:rFonts w:hint="eastAsia"/>
        </w:rPr>
        <w:t>口</w:t>
      </w:r>
      <w:r>
        <w:t>安装</w:t>
      </w:r>
      <w:r>
        <w:rPr>
          <w:rFonts w:hint="eastAsia"/>
        </w:rPr>
        <w:t>孔径0.425</w:t>
      </w:r>
      <w:r>
        <w:t> </w:t>
      </w:r>
      <w:r>
        <w:rPr>
          <w:rFonts w:hint="eastAsia"/>
        </w:rPr>
        <w:t>mm的</w:t>
      </w:r>
      <w:r>
        <w:t>防虫网</w:t>
      </w:r>
      <w:r>
        <w:rPr>
          <w:rFonts w:hint="eastAsia"/>
        </w:rPr>
        <w:t>，棚内悬挂诱虫板和杀虫灯</w:t>
      </w:r>
      <w:r>
        <w:t>。</w:t>
      </w:r>
      <w:r>
        <w:rPr>
          <w:rFonts w:hint="eastAsia"/>
        </w:rPr>
        <w:t>芝棚上方</w:t>
      </w:r>
      <w:r>
        <w:t>沿棚方向铺设喷水管道，间距</w:t>
      </w:r>
      <w:r>
        <w:rPr>
          <w:rFonts w:hint="eastAsia"/>
        </w:rPr>
        <w:t>2</w:t>
      </w:r>
      <w:r>
        <w:t> m，汇总于棚头总管道</w:t>
      </w:r>
      <w:r>
        <w:rPr>
          <w:rFonts w:hint="eastAsia"/>
        </w:rPr>
        <w:t>并</w:t>
      </w:r>
      <w:r>
        <w:t>与水源潜水泵连接，喷水管道每间隔1.</w:t>
      </w:r>
      <w:r>
        <w:rPr>
          <w:rFonts w:hint="eastAsia"/>
        </w:rPr>
        <w:t>5</w:t>
      </w:r>
      <w:r>
        <w:t> m安装</w:t>
      </w:r>
      <w:r>
        <w:rPr>
          <w:rFonts w:hint="eastAsia"/>
        </w:rPr>
        <w:t>1</w:t>
      </w:r>
      <w:r>
        <w:t>个</w:t>
      </w:r>
      <w:r>
        <w:rPr>
          <w:rFonts w:hint="eastAsia"/>
        </w:rPr>
        <w:t>流量40</w:t>
      </w:r>
      <w:r>
        <w:t> </w:t>
      </w:r>
      <w:r>
        <w:rPr>
          <w:rFonts w:hint="eastAsia"/>
        </w:rPr>
        <w:t>L/h～60</w:t>
      </w:r>
      <w:r>
        <w:t> </w:t>
      </w:r>
      <w:r>
        <w:rPr>
          <w:rFonts w:hint="eastAsia"/>
        </w:rPr>
        <w:t>L/h的</w:t>
      </w:r>
      <w:r>
        <w:t>雾化喷头</w:t>
      </w:r>
      <w:r>
        <w:rPr>
          <w:rFonts w:hint="eastAsia"/>
        </w:rPr>
        <w:t>。</w:t>
      </w:r>
    </w:p>
    <w:p w14:paraId="4EC553FF">
      <w:pPr>
        <w:pStyle w:val="166"/>
      </w:pPr>
      <w:r>
        <w:rPr>
          <w:rFonts w:hint="eastAsia"/>
        </w:rPr>
        <w:t>芝棚内垂直于芝棚方向整畦，畦垄宽0.4</w:t>
      </w:r>
      <w:r>
        <w:t> </w:t>
      </w:r>
      <w:r>
        <w:rPr>
          <w:rFonts w:hint="eastAsia"/>
        </w:rPr>
        <w:t>m、高0.15</w:t>
      </w:r>
      <w:r>
        <w:t> </w:t>
      </w:r>
      <w:r>
        <w:rPr>
          <w:rFonts w:hint="eastAsia"/>
        </w:rPr>
        <w:t>m，平整，垄沟宽0.6</w:t>
      </w:r>
      <w:r>
        <w:t> </w:t>
      </w:r>
      <w:r>
        <w:rPr>
          <w:rFonts w:hint="eastAsia"/>
        </w:rPr>
        <w:t>m～0.7</w:t>
      </w:r>
      <w:r>
        <w:t> </w:t>
      </w:r>
      <w:r>
        <w:rPr>
          <w:rFonts w:hint="eastAsia"/>
        </w:rPr>
        <w:t>m，畦垄上覆盖黑膜，或立体网架出芝。老芝棚应撒生石灰粉后覆膜。</w:t>
      </w:r>
    </w:p>
    <w:p w14:paraId="03342A24">
      <w:pPr>
        <w:pStyle w:val="105"/>
        <w:spacing w:before="312" w:after="312"/>
        <w:ind w:left="0"/>
      </w:pPr>
      <w:bookmarkStart w:id="44" w:name="_Toc15221"/>
      <w:r>
        <w:rPr>
          <w:rFonts w:hint="eastAsia"/>
        </w:rPr>
        <w:t>生产原料</w:t>
      </w:r>
      <w:bookmarkEnd w:id="44"/>
    </w:p>
    <w:p w14:paraId="03416C04">
      <w:pPr>
        <w:pStyle w:val="106"/>
        <w:spacing w:before="156" w:after="156"/>
      </w:pPr>
      <w:bookmarkStart w:id="45" w:name="_Toc7609"/>
      <w:r>
        <w:rPr>
          <w:rFonts w:hint="eastAsia"/>
        </w:rPr>
        <w:t>栽培基质</w:t>
      </w:r>
      <w:bookmarkEnd w:id="45"/>
    </w:p>
    <w:p w14:paraId="7FD98D20">
      <w:pPr>
        <w:pStyle w:val="57"/>
        <w:ind w:firstLine="420"/>
      </w:pPr>
      <w:r>
        <w:rPr>
          <w:rFonts w:hint="eastAsia"/>
        </w:rPr>
        <w:t>栽培基质</w:t>
      </w:r>
      <w:r>
        <w:t>为阔叶树木屑、玉米芯、棉籽壳、</w:t>
      </w:r>
      <w:r>
        <w:rPr>
          <w:rFonts w:hint="eastAsia"/>
        </w:rPr>
        <w:t>木糖醇渣、</w:t>
      </w:r>
      <w:r>
        <w:t>麦麸、</w:t>
      </w:r>
      <w:r>
        <w:rPr>
          <w:rFonts w:hint="eastAsia"/>
        </w:rPr>
        <w:t>豆粕</w:t>
      </w:r>
      <w:r>
        <w:t>、石膏、石灰等。原料应新鲜、干燥，无虫、无异味、</w:t>
      </w:r>
      <w:r>
        <w:rPr>
          <w:rFonts w:hint="eastAsia"/>
        </w:rPr>
        <w:t>无霉变、</w:t>
      </w:r>
      <w:r>
        <w:t>无结块</w:t>
      </w:r>
      <w:r>
        <w:rPr>
          <w:rFonts w:hint="eastAsia"/>
        </w:rPr>
        <w:t>，质量应符合NY/T 1935的规定</w:t>
      </w:r>
      <w:r>
        <w:t>。</w:t>
      </w:r>
    </w:p>
    <w:p w14:paraId="5807F3E3">
      <w:pPr>
        <w:pStyle w:val="106"/>
        <w:spacing w:before="156" w:after="156"/>
      </w:pPr>
      <w:bookmarkStart w:id="46" w:name="_Toc24981"/>
      <w:r>
        <w:rPr>
          <w:rFonts w:hint="eastAsia"/>
        </w:rPr>
        <w:t>生产用水</w:t>
      </w:r>
      <w:bookmarkEnd w:id="46"/>
    </w:p>
    <w:p w14:paraId="442439FC">
      <w:pPr>
        <w:pStyle w:val="57"/>
        <w:ind w:firstLine="420"/>
        <w:rPr>
          <w:color w:val="000000" w:themeColor="text1"/>
          <w:szCs w:val="21"/>
          <w14:textFill>
            <w14:solidFill>
              <w14:schemeClr w14:val="tx1"/>
            </w14:solidFill>
          </w14:textFill>
        </w:rPr>
      </w:pPr>
      <w:r>
        <w:rPr>
          <w:rFonts w:hint="eastAsia"/>
        </w:rPr>
        <w:t>用水包括培养料配制用水和出芝管理用水。培养料配制用水水质应符合GB 5749中常规指标的规定，</w:t>
      </w:r>
      <w:r>
        <w:rPr>
          <w:rFonts w:hint="eastAsia"/>
          <w:color w:val="000000" w:themeColor="text1"/>
          <w14:textFill>
            <w14:solidFill>
              <w14:schemeClr w14:val="tx1"/>
            </w14:solidFill>
          </w14:textFill>
        </w:rPr>
        <w:t>出芝管理用水可用清洁的水库水、池塘水、井水、湖水等。</w:t>
      </w:r>
    </w:p>
    <w:p w14:paraId="3CD14F50">
      <w:pPr>
        <w:pStyle w:val="105"/>
        <w:spacing w:before="312" w:after="312"/>
        <w:ind w:left="0"/>
      </w:pPr>
      <w:bookmarkStart w:id="47" w:name="_Toc4150"/>
      <w:r>
        <w:rPr>
          <w:rFonts w:hint="eastAsia"/>
        </w:rPr>
        <w:t>生产技术程序的构成</w:t>
      </w:r>
    </w:p>
    <w:p w14:paraId="44DC96F0">
      <w:pPr>
        <w:pStyle w:val="57"/>
        <w:ind w:firstLine="420"/>
      </w:pPr>
      <w:r>
        <w:rPr>
          <w:rFonts w:hint="eastAsia"/>
        </w:rPr>
        <w:t>灵芝生产技术程序包括季节安排（见8.1）、品种选择（见8.2）、菌种生产（见8.3）、栽培方式（见8.4）、培养基配方（见8.5）、菌袋制作（见8.6）、排袋（见8.7）、出芝管理（见8.8）、孢子粉采收（见8.9）、子实体采收（见8.10）、转潮管理（见8.11）、场地清理（见8.12）、子实体干制与贮存（见8.13）13个阶段。其中菌袋制作阶段细分为菌袋规格（见8.6.1）、拌料装袋（见8.6.2）、灭菌（见8.6.3）、冷却（见8.6.4）、 接种培养（见8.6.5）5个步骤；出芝管理阶段细分为开口（见8.8.1）、原基分化期（见8.8.2）、原基人工修整（见8.8.3）、子实体生长期（见8.8.4）、子实体成熟期（见8.8.5）5个步骤；子实体采收阶段细分为采收标准（见8.10.1）、采收（见8.10.2）2个步骤。</w:t>
      </w:r>
    </w:p>
    <w:p w14:paraId="5D975E16">
      <w:pPr>
        <w:pStyle w:val="105"/>
        <w:spacing w:before="312" w:after="312"/>
        <w:ind w:left="0"/>
      </w:pPr>
      <w:r>
        <w:rPr>
          <w:rFonts w:hint="eastAsia"/>
        </w:rPr>
        <w:t>生产技术要求</w:t>
      </w:r>
      <w:bookmarkEnd w:id="47"/>
    </w:p>
    <w:p w14:paraId="13015739">
      <w:pPr>
        <w:pStyle w:val="106"/>
        <w:spacing w:before="156" w:after="156"/>
      </w:pPr>
      <w:bookmarkStart w:id="48" w:name="_Toc10020"/>
      <w:r>
        <w:rPr>
          <w:rFonts w:hint="eastAsia"/>
        </w:rPr>
        <w:t>季节安排</w:t>
      </w:r>
      <w:bookmarkEnd w:id="48"/>
    </w:p>
    <w:p w14:paraId="357BE865">
      <w:pPr>
        <w:pStyle w:val="57"/>
        <w:ind w:firstLine="420"/>
      </w:pPr>
      <w:r>
        <w:t>根据</w:t>
      </w:r>
      <w:r>
        <w:rPr>
          <w:rFonts w:hint="eastAsia"/>
        </w:rPr>
        <w:t>灵芝</w:t>
      </w:r>
      <w:r>
        <w:t>子实体生长对温度的要求，一般选择</w:t>
      </w:r>
      <w:r>
        <w:rPr>
          <w:rFonts w:hint="eastAsia"/>
        </w:rPr>
        <w:t>5</w:t>
      </w:r>
      <w:r>
        <w:t>月份至</w:t>
      </w:r>
      <w:r>
        <w:rPr>
          <w:rFonts w:hint="eastAsia"/>
        </w:rPr>
        <w:t>9</w:t>
      </w:r>
      <w:r>
        <w:t>月份</w:t>
      </w:r>
      <w:r>
        <w:rPr>
          <w:rFonts w:hint="eastAsia"/>
        </w:rPr>
        <w:t>生产</w:t>
      </w:r>
      <w:r>
        <w:t>出</w:t>
      </w:r>
      <w:r>
        <w:rPr>
          <w:rFonts w:hint="eastAsia"/>
        </w:rPr>
        <w:t>芝</w:t>
      </w:r>
      <w:r>
        <w:t>。</w:t>
      </w:r>
    </w:p>
    <w:p w14:paraId="6D8F377E">
      <w:pPr>
        <w:pStyle w:val="106"/>
        <w:spacing w:before="156" w:after="156"/>
      </w:pPr>
      <w:bookmarkStart w:id="49" w:name="_Toc1435"/>
      <w:r>
        <w:rPr>
          <w:rFonts w:hint="eastAsia"/>
        </w:rPr>
        <w:t>品种选择</w:t>
      </w:r>
      <w:bookmarkEnd w:id="49"/>
    </w:p>
    <w:p w14:paraId="2A50BD95">
      <w:pPr>
        <w:pStyle w:val="57"/>
        <w:ind w:firstLine="420"/>
      </w:pPr>
      <w:r>
        <w:rPr>
          <w:rFonts w:hint="eastAsia"/>
        </w:rPr>
        <w:t>选择适应本地气候、抗逆性强、出芝整齐、优质高产，通过国家认定、登记、省审定的品种，菌种质量应符合NY/T 1742的规定。</w:t>
      </w:r>
    </w:p>
    <w:p w14:paraId="7685CAAD">
      <w:pPr>
        <w:pStyle w:val="106"/>
        <w:spacing w:before="156" w:after="156"/>
      </w:pPr>
      <w:bookmarkStart w:id="50" w:name="_Toc7519"/>
      <w:r>
        <w:rPr>
          <w:rFonts w:hint="eastAsia"/>
        </w:rPr>
        <w:t>菌种生产</w:t>
      </w:r>
      <w:bookmarkEnd w:id="50"/>
    </w:p>
    <w:p w14:paraId="05BD4EFB">
      <w:pPr>
        <w:pStyle w:val="57"/>
        <w:ind w:firstLine="420"/>
      </w:pPr>
      <w:r>
        <w:rPr>
          <w:rFonts w:hint="eastAsia"/>
        </w:rPr>
        <w:t>根据生产季节，适时生产菌种，菌种生产应符合NY/T 528的规定。</w:t>
      </w:r>
    </w:p>
    <w:p w14:paraId="4A8B97AC">
      <w:pPr>
        <w:pStyle w:val="106"/>
        <w:spacing w:before="156" w:after="156"/>
      </w:pPr>
      <w:bookmarkStart w:id="51" w:name="_Toc9673"/>
      <w:r>
        <w:rPr>
          <w:rFonts w:hint="eastAsia"/>
        </w:rPr>
        <w:t>栽培方式</w:t>
      </w:r>
      <w:bookmarkEnd w:id="51"/>
    </w:p>
    <w:p w14:paraId="68468CEE">
      <w:pPr>
        <w:pStyle w:val="57"/>
        <w:ind w:firstLine="420"/>
      </w:pPr>
      <w:r>
        <w:rPr>
          <w:rFonts w:hint="eastAsia"/>
        </w:rPr>
        <w:t>代</w:t>
      </w:r>
      <w:r>
        <w:t>料栽培，</w:t>
      </w:r>
      <w:r>
        <w:rPr>
          <w:rFonts w:hint="eastAsia"/>
        </w:rPr>
        <w:t>设施</w:t>
      </w:r>
      <w:r>
        <w:t>立体墙式</w:t>
      </w:r>
      <w:r>
        <w:rPr>
          <w:rFonts w:hint="eastAsia"/>
        </w:rPr>
        <w:t>地摆或立体网架摆放，人工辅助定点出芝</w:t>
      </w:r>
      <w:r>
        <w:t>。</w:t>
      </w:r>
    </w:p>
    <w:p w14:paraId="7599726E">
      <w:pPr>
        <w:pStyle w:val="106"/>
        <w:spacing w:before="156" w:after="156"/>
      </w:pPr>
      <w:bookmarkStart w:id="52" w:name="_Toc8666"/>
      <w:r>
        <w:rPr>
          <w:rFonts w:hint="eastAsia"/>
        </w:rPr>
        <w:t>培养基配方</w:t>
      </w:r>
      <w:bookmarkEnd w:id="52"/>
    </w:p>
    <w:p w14:paraId="1AC7DC5A">
      <w:pPr>
        <w:pStyle w:val="57"/>
        <w:ind w:firstLine="420"/>
      </w:pPr>
      <w:r>
        <w:rPr>
          <w:rFonts w:hint="eastAsia"/>
        </w:rPr>
        <w:t>宜选用以下配方</w:t>
      </w:r>
      <w:r>
        <w:t>：</w:t>
      </w:r>
    </w:p>
    <w:p w14:paraId="005D1BE0">
      <w:pPr>
        <w:pStyle w:val="175"/>
      </w:pPr>
      <w:r>
        <w:rPr>
          <w:rFonts w:hint="eastAsia"/>
        </w:rPr>
        <w:t>木屑30</w:t>
      </w:r>
      <w:r>
        <w:t>％，棉籽壳</w:t>
      </w:r>
      <w:r>
        <w:rPr>
          <w:rFonts w:hint="eastAsia"/>
        </w:rPr>
        <w:t>58</w:t>
      </w:r>
      <w:r>
        <w:t>％，麦麸</w:t>
      </w:r>
      <w:r>
        <w:rPr>
          <w:rFonts w:hint="eastAsia"/>
        </w:rPr>
        <w:t>10</w:t>
      </w:r>
      <w:r>
        <w:t>％，石灰</w:t>
      </w:r>
      <w:r>
        <w:rPr>
          <w:rFonts w:hint="eastAsia"/>
        </w:rPr>
        <w:t>1</w:t>
      </w:r>
      <w:r>
        <w:t>％，石膏1％</w:t>
      </w:r>
      <w:r>
        <w:rPr>
          <w:rFonts w:hint="eastAsia"/>
        </w:rPr>
        <w:t>；</w:t>
      </w:r>
      <w:r>
        <w:t>含水量6</w:t>
      </w:r>
      <w:r>
        <w:rPr>
          <w:rFonts w:hint="eastAsia"/>
        </w:rPr>
        <w:t>5％左右；</w:t>
      </w:r>
    </w:p>
    <w:p w14:paraId="0F03162D">
      <w:pPr>
        <w:pStyle w:val="175"/>
      </w:pPr>
      <w:r>
        <w:t>玉米芯</w:t>
      </w:r>
      <w:r>
        <w:rPr>
          <w:rFonts w:hint="eastAsia"/>
        </w:rPr>
        <w:t>2</w:t>
      </w:r>
      <w:r>
        <w:t>0％</w:t>
      </w:r>
      <w:r>
        <w:rPr>
          <w:rFonts w:hint="eastAsia"/>
        </w:rPr>
        <w:t>，木屑30％，</w:t>
      </w:r>
      <w:r>
        <w:t>棉籽壳</w:t>
      </w:r>
      <w:r>
        <w:rPr>
          <w:rFonts w:hint="eastAsia"/>
        </w:rPr>
        <w:t>38</w:t>
      </w:r>
      <w:r>
        <w:t>％</w:t>
      </w:r>
      <w:r>
        <w:rPr>
          <w:rFonts w:hint="eastAsia"/>
        </w:rPr>
        <w:t>，</w:t>
      </w:r>
      <w:r>
        <w:t>麦麸10％</w:t>
      </w:r>
      <w:r>
        <w:rPr>
          <w:rFonts w:hint="eastAsia"/>
        </w:rPr>
        <w:t>，</w:t>
      </w:r>
      <w:r>
        <w:t>石灰</w:t>
      </w:r>
      <w:r>
        <w:rPr>
          <w:rFonts w:hint="eastAsia"/>
        </w:rPr>
        <w:t>1</w:t>
      </w:r>
      <w:r>
        <w:t>％</w:t>
      </w:r>
      <w:r>
        <w:rPr>
          <w:rFonts w:hint="eastAsia"/>
        </w:rPr>
        <w:t>，</w:t>
      </w:r>
      <w:r>
        <w:t>石膏1％</w:t>
      </w:r>
      <w:r>
        <w:rPr>
          <w:rFonts w:hint="eastAsia"/>
        </w:rPr>
        <w:t>；</w:t>
      </w:r>
      <w:r>
        <w:t>含水量6</w:t>
      </w:r>
      <w:r>
        <w:rPr>
          <w:rFonts w:hint="eastAsia"/>
        </w:rPr>
        <w:t>5</w:t>
      </w:r>
      <w:r>
        <w:t>％</w:t>
      </w:r>
      <w:r>
        <w:rPr>
          <w:rFonts w:hint="eastAsia"/>
        </w:rPr>
        <w:t>左右；</w:t>
      </w:r>
    </w:p>
    <w:p w14:paraId="04767FDD">
      <w:pPr>
        <w:pStyle w:val="175"/>
      </w:pPr>
      <w:r>
        <w:rPr>
          <w:rFonts w:hint="eastAsia"/>
        </w:rPr>
        <w:t>木糖醇渣84％，麦麸10％，豆粕2％，</w:t>
      </w:r>
      <w:r>
        <w:t>石灰</w:t>
      </w:r>
      <w:r>
        <w:rPr>
          <w:rFonts w:hint="eastAsia"/>
        </w:rPr>
        <w:t>3</w:t>
      </w:r>
      <w:r>
        <w:t>％，石膏1％</w:t>
      </w:r>
      <w:r>
        <w:rPr>
          <w:rFonts w:hint="eastAsia"/>
        </w:rPr>
        <w:t>；</w:t>
      </w:r>
      <w:r>
        <w:t>含水量6</w:t>
      </w:r>
      <w:r>
        <w:rPr>
          <w:rFonts w:hint="eastAsia"/>
        </w:rPr>
        <w:t>5</w:t>
      </w:r>
      <w:r>
        <w:t>％</w:t>
      </w:r>
      <w:r>
        <w:rPr>
          <w:rFonts w:hint="eastAsia"/>
        </w:rPr>
        <w:t>左右；</w:t>
      </w:r>
    </w:p>
    <w:p w14:paraId="5113F604">
      <w:pPr>
        <w:pStyle w:val="175"/>
      </w:pPr>
      <w:r>
        <w:rPr>
          <w:rFonts w:hint="eastAsia"/>
        </w:rPr>
        <w:t>木糖醇渣66％，玉米芯20％，麦麸10％，</w:t>
      </w:r>
      <w:r>
        <w:t>石灰</w:t>
      </w:r>
      <w:r>
        <w:rPr>
          <w:rFonts w:hint="eastAsia"/>
        </w:rPr>
        <w:t>3</w:t>
      </w:r>
      <w:r>
        <w:t>％，石膏1％</w:t>
      </w:r>
      <w:r>
        <w:rPr>
          <w:rFonts w:hint="eastAsia"/>
        </w:rPr>
        <w:t>；</w:t>
      </w:r>
      <w:r>
        <w:t>含水量6</w:t>
      </w:r>
      <w:r>
        <w:rPr>
          <w:rFonts w:hint="eastAsia"/>
        </w:rPr>
        <w:t>5</w:t>
      </w:r>
      <w:r>
        <w:t>％</w:t>
      </w:r>
      <w:r>
        <w:rPr>
          <w:rFonts w:hint="eastAsia"/>
        </w:rPr>
        <w:t>左右</w:t>
      </w:r>
      <w:r>
        <w:t>。</w:t>
      </w:r>
    </w:p>
    <w:p w14:paraId="05D1D459">
      <w:pPr>
        <w:pStyle w:val="106"/>
        <w:spacing w:before="156" w:after="156"/>
      </w:pPr>
      <w:bookmarkStart w:id="53" w:name="_Toc8303"/>
      <w:r>
        <w:rPr>
          <w:rFonts w:hint="eastAsia"/>
        </w:rPr>
        <w:t>菌袋制作</w:t>
      </w:r>
      <w:bookmarkEnd w:id="53"/>
    </w:p>
    <w:p w14:paraId="5DCC1EAA">
      <w:pPr>
        <w:pStyle w:val="66"/>
        <w:spacing w:before="156" w:after="156"/>
      </w:pPr>
      <w:r>
        <w:rPr>
          <w:rFonts w:hint="eastAsia"/>
        </w:rPr>
        <w:t>菌袋规格</w:t>
      </w:r>
    </w:p>
    <w:p w14:paraId="7AC152C5">
      <w:pPr>
        <w:pStyle w:val="57"/>
        <w:ind w:firstLine="420"/>
        <w:rPr>
          <w:szCs w:val="21"/>
        </w:rPr>
      </w:pPr>
      <w:r>
        <w:rPr>
          <w:szCs w:val="21"/>
        </w:rPr>
        <w:t>选用</w:t>
      </w:r>
      <w:r>
        <w:rPr>
          <w:rFonts w:hint="eastAsia"/>
          <w:szCs w:val="21"/>
        </w:rPr>
        <w:t>折径</w:t>
      </w:r>
      <w:r>
        <w:rPr>
          <w:rFonts w:hint="eastAsia"/>
        </w:rPr>
        <w:t>18</w:t>
      </w:r>
      <w:r>
        <w:t> </w:t>
      </w:r>
      <w:r>
        <w:rPr>
          <w:rFonts w:hint="eastAsia"/>
        </w:rPr>
        <w:t>cm×39</w:t>
      </w:r>
      <w:r>
        <w:t> </w:t>
      </w:r>
      <w:r>
        <w:rPr>
          <w:rFonts w:hint="eastAsia"/>
        </w:rPr>
        <w:t>cm×</w:t>
      </w:r>
      <w:r>
        <w:t>0.00</w:t>
      </w:r>
      <w:r>
        <w:rPr>
          <w:rFonts w:hint="eastAsia"/>
        </w:rPr>
        <w:t>4</w:t>
      </w:r>
      <w:r>
        <w:t> cm</w:t>
      </w:r>
      <w:r>
        <w:rPr>
          <w:rFonts w:hint="eastAsia"/>
          <w:szCs w:val="21"/>
        </w:rPr>
        <w:t>聚丙烯栽培袋</w:t>
      </w:r>
      <w:r>
        <w:rPr>
          <w:szCs w:val="21"/>
        </w:rPr>
        <w:t>，</w:t>
      </w:r>
      <w:r>
        <w:rPr>
          <w:rFonts w:hint="eastAsia"/>
          <w:szCs w:val="21"/>
        </w:rPr>
        <w:t>或选用16</w:t>
      </w:r>
      <w:r>
        <w:t> </w:t>
      </w:r>
      <w:r>
        <w:rPr>
          <w:rFonts w:hint="eastAsia"/>
          <w:szCs w:val="21"/>
        </w:rPr>
        <w:t>cm～17</w:t>
      </w:r>
      <w:r>
        <w:t> </w:t>
      </w:r>
      <w:r>
        <w:rPr>
          <w:rFonts w:hint="eastAsia"/>
          <w:szCs w:val="21"/>
        </w:rPr>
        <w:t>cm</w:t>
      </w:r>
      <w:r>
        <w:rPr>
          <w:rFonts w:hint="eastAsia"/>
        </w:rPr>
        <w:t>×35</w:t>
      </w:r>
      <w:r>
        <w:t> </w:t>
      </w:r>
      <w:r>
        <w:rPr>
          <w:rFonts w:hint="eastAsia"/>
        </w:rPr>
        <w:t>cm×</w:t>
      </w:r>
      <w:r>
        <w:t>0.00</w:t>
      </w:r>
      <w:r>
        <w:rPr>
          <w:rFonts w:hint="eastAsia"/>
        </w:rPr>
        <w:t>4</w:t>
      </w:r>
      <w:r>
        <w:t> cm</w:t>
      </w:r>
      <w:r>
        <w:rPr>
          <w:rFonts w:hint="eastAsia"/>
          <w:szCs w:val="21"/>
        </w:rPr>
        <w:t>聚乙烯折角袋，质量应符合</w:t>
      </w:r>
      <w:r>
        <w:t>GB 4</w:t>
      </w:r>
      <w:r>
        <w:rPr>
          <w:rFonts w:hint="eastAsia"/>
        </w:rPr>
        <w:t>806.7</w:t>
      </w:r>
      <w:r>
        <w:rPr>
          <w:rFonts w:hint="eastAsia"/>
          <w:szCs w:val="21"/>
        </w:rPr>
        <w:t>的规定。</w:t>
      </w:r>
    </w:p>
    <w:p w14:paraId="659148CC">
      <w:pPr>
        <w:pStyle w:val="66"/>
        <w:spacing w:before="156" w:after="156"/>
      </w:pPr>
      <w:r>
        <w:rPr>
          <w:rFonts w:hint="eastAsia"/>
        </w:rPr>
        <w:t>拌料装袋</w:t>
      </w:r>
    </w:p>
    <w:p w14:paraId="11A2B66B">
      <w:pPr>
        <w:pStyle w:val="57"/>
        <w:ind w:firstLine="420"/>
      </w:pPr>
      <w:r>
        <w:rPr>
          <w:rFonts w:hint="eastAsia"/>
        </w:rPr>
        <w:t>木屑、玉米芯提前2</w:t>
      </w:r>
      <w:r>
        <w:t> </w:t>
      </w:r>
      <w:r>
        <w:rPr>
          <w:rFonts w:hint="eastAsia"/>
        </w:rPr>
        <w:t>d预湿，豆粕提前1</w:t>
      </w:r>
      <w:r>
        <w:t> </w:t>
      </w:r>
      <w:r>
        <w:rPr>
          <w:rFonts w:hint="eastAsia"/>
        </w:rPr>
        <w:t>d浸泡。采用高压聚丙烯栽培袋或低压聚乙烯栽培袋，将各种原料混合拌匀机械装袋，松紧适度。</w:t>
      </w:r>
    </w:p>
    <w:p w14:paraId="2A3CE776">
      <w:pPr>
        <w:pStyle w:val="66"/>
        <w:spacing w:before="156" w:after="156"/>
        <w:rPr>
          <w:color w:val="000000"/>
          <w:kern w:val="2"/>
          <w:szCs w:val="24"/>
        </w:rPr>
      </w:pPr>
      <w:r>
        <w:rPr>
          <w:rFonts w:hint="eastAsia"/>
          <w:color w:val="000000"/>
          <w:kern w:val="2"/>
          <w:szCs w:val="24"/>
        </w:rPr>
        <w:t>灭菌</w:t>
      </w:r>
    </w:p>
    <w:p w14:paraId="7D88635E">
      <w:pPr>
        <w:pStyle w:val="57"/>
        <w:ind w:firstLine="420"/>
      </w:pPr>
      <w:r>
        <w:rPr>
          <w:rFonts w:hint="eastAsia"/>
        </w:rPr>
        <w:t>采用常压灭菌或高压灭菌方式进行灭菌。常压灭菌：</w:t>
      </w:r>
      <w:r>
        <w:t>100 </w:t>
      </w:r>
      <w:r>
        <w:rPr>
          <w:rFonts w:hint="eastAsia"/>
        </w:rPr>
        <w:t>℃</w:t>
      </w:r>
      <w:r>
        <w:t>常压</w:t>
      </w:r>
      <w:r>
        <w:rPr>
          <w:rFonts w:hint="eastAsia"/>
        </w:rPr>
        <w:t>蒸汽灭菌维持10</w:t>
      </w:r>
      <w:r>
        <w:t> h</w:t>
      </w:r>
      <w:r>
        <w:rPr>
          <w:rFonts w:hint="eastAsia"/>
        </w:rPr>
        <w:t>，焖2</w:t>
      </w:r>
      <w:r>
        <w:t> </w:t>
      </w:r>
      <w:r>
        <w:rPr>
          <w:rFonts w:hint="eastAsia"/>
        </w:rPr>
        <w:t>h；高压灭菌：121</w:t>
      </w:r>
      <w:r>
        <w:t> </w:t>
      </w:r>
      <w:r>
        <w:rPr>
          <w:rFonts w:hint="eastAsia"/>
        </w:rPr>
        <w:t>℃</w:t>
      </w:r>
      <w:r>
        <w:t>、</w:t>
      </w:r>
      <w:r>
        <w:rPr>
          <w:rFonts w:hint="eastAsia"/>
        </w:rPr>
        <w:t>0.11</w:t>
      </w:r>
      <w:r>
        <w:t> </w:t>
      </w:r>
      <w:r>
        <w:rPr>
          <w:rFonts w:hint="eastAsia"/>
        </w:rPr>
        <w:t>Mpa高压蒸汽</w:t>
      </w:r>
      <w:r>
        <w:t>灭菌维持</w:t>
      </w:r>
      <w:r>
        <w:rPr>
          <w:rFonts w:hint="eastAsia"/>
        </w:rPr>
        <w:t>3</w:t>
      </w:r>
      <w:r>
        <w:t> h，焖2 h。</w:t>
      </w:r>
    </w:p>
    <w:p w14:paraId="7459149E">
      <w:pPr>
        <w:pStyle w:val="66"/>
        <w:spacing w:before="156" w:after="156"/>
      </w:pPr>
      <w:r>
        <w:rPr>
          <w:rFonts w:hint="eastAsia"/>
        </w:rPr>
        <w:t>冷却</w:t>
      </w:r>
    </w:p>
    <w:p w14:paraId="1878DAD3">
      <w:pPr>
        <w:pStyle w:val="57"/>
        <w:ind w:firstLine="420"/>
      </w:pPr>
      <w:r>
        <w:rPr>
          <w:rFonts w:hint="eastAsia"/>
        </w:rPr>
        <w:t>灭菌后的菌袋运至冷却室，袋料降温至25</w:t>
      </w:r>
      <w:r>
        <w:t> </w:t>
      </w:r>
      <w:r>
        <w:rPr>
          <w:rFonts w:hint="eastAsia"/>
        </w:rPr>
        <w:t>℃以下。</w:t>
      </w:r>
    </w:p>
    <w:p w14:paraId="6F6F9A01">
      <w:pPr>
        <w:pStyle w:val="66"/>
        <w:spacing w:before="156" w:after="156"/>
      </w:pPr>
      <w:r>
        <w:rPr>
          <w:rFonts w:hint="eastAsia"/>
        </w:rPr>
        <w:t>接种培养</w:t>
      </w:r>
    </w:p>
    <w:p w14:paraId="277411E6">
      <w:pPr>
        <w:pStyle w:val="57"/>
        <w:ind w:firstLine="420"/>
      </w:pPr>
      <w:r>
        <w:rPr>
          <w:rFonts w:hint="eastAsia"/>
        </w:rPr>
        <w:t>无菌条件下，接入20</w:t>
      </w:r>
      <w:r>
        <w:t> </w:t>
      </w:r>
      <w:r>
        <w:rPr>
          <w:rFonts w:hint="eastAsia"/>
        </w:rPr>
        <w:t>g～30</w:t>
      </w:r>
      <w:r>
        <w:t> </w:t>
      </w:r>
      <w:r>
        <w:rPr>
          <w:rFonts w:hint="eastAsia"/>
        </w:rPr>
        <w:t>g固体菌种，或15</w:t>
      </w:r>
      <w:r>
        <w:t> </w:t>
      </w:r>
      <w:r>
        <w:rPr>
          <w:rFonts w:hint="eastAsia"/>
        </w:rPr>
        <w:t>mL～20</w:t>
      </w:r>
      <w:r>
        <w:t> </w:t>
      </w:r>
      <w:r>
        <w:rPr>
          <w:rFonts w:hint="eastAsia"/>
        </w:rPr>
        <w:t>mL液体菌种，封口。集中发菌培养，</w:t>
      </w:r>
      <w:r>
        <w:t>环境温度</w:t>
      </w:r>
      <w:r>
        <w:rPr>
          <w:rFonts w:hint="eastAsia"/>
        </w:rPr>
        <w:t>22</w:t>
      </w:r>
      <w:r>
        <w:t> </w:t>
      </w:r>
      <w:r>
        <w:rPr>
          <w:rFonts w:hint="eastAsia"/>
        </w:rPr>
        <w:t>℃</w:t>
      </w:r>
      <w:r>
        <w:t>～</w:t>
      </w:r>
      <w:r>
        <w:rPr>
          <w:rFonts w:hint="eastAsia"/>
        </w:rPr>
        <w:t>28</w:t>
      </w:r>
      <w:r>
        <w:t> </w:t>
      </w:r>
      <w:r>
        <w:rPr>
          <w:rFonts w:hint="eastAsia"/>
        </w:rPr>
        <w:t>℃，</w:t>
      </w:r>
      <w:r>
        <w:t>空气相对湿度</w:t>
      </w:r>
      <w:r>
        <w:rPr>
          <w:rFonts w:hint="eastAsia"/>
        </w:rPr>
        <w:t>50％～65</w:t>
      </w:r>
      <w:r>
        <w:t>％，每天通风</w:t>
      </w:r>
      <w:r>
        <w:rPr>
          <w:rFonts w:hint="eastAsia"/>
        </w:rPr>
        <w:t>2次，每次0.5</w:t>
      </w:r>
      <w:r>
        <w:t> h</w:t>
      </w:r>
      <w:r>
        <w:rPr>
          <w:rFonts w:hint="eastAsia"/>
        </w:rPr>
        <w:t>～1</w:t>
      </w:r>
      <w:r>
        <w:t> </w:t>
      </w:r>
      <w:r>
        <w:rPr>
          <w:rFonts w:hint="eastAsia"/>
        </w:rPr>
        <w:t>h</w:t>
      </w:r>
      <w:r>
        <w:t>。</w:t>
      </w:r>
      <w:r>
        <w:rPr>
          <w:rFonts w:hint="eastAsia"/>
        </w:rPr>
        <w:t>定期</w:t>
      </w:r>
      <w:r>
        <w:t>检查</w:t>
      </w:r>
      <w:r>
        <w:rPr>
          <w:rFonts w:hint="eastAsia"/>
        </w:rPr>
        <w:t>菌丝生长情况</w:t>
      </w:r>
      <w:r>
        <w:t>，感染</w:t>
      </w:r>
      <w:r>
        <w:rPr>
          <w:rFonts w:hint="eastAsia"/>
        </w:rPr>
        <w:t>杂菌菌袋</w:t>
      </w:r>
      <w:r>
        <w:t>及时处理</w:t>
      </w:r>
      <w:r>
        <w:rPr>
          <w:rFonts w:hint="eastAsia"/>
        </w:rPr>
        <w:t>，</w:t>
      </w:r>
      <w:r>
        <w:t>整个发菌过程中翻袋</w:t>
      </w:r>
      <w:r>
        <w:rPr>
          <w:rFonts w:hint="eastAsia"/>
        </w:rPr>
        <w:t>2次</w:t>
      </w:r>
      <w:r>
        <w:t>～</w:t>
      </w:r>
      <w:r>
        <w:rPr>
          <w:rFonts w:hint="eastAsia"/>
        </w:rPr>
        <w:t>3</w:t>
      </w:r>
      <w:r>
        <w:t>次。</w:t>
      </w:r>
    </w:p>
    <w:p w14:paraId="2ADF7002">
      <w:pPr>
        <w:pStyle w:val="106"/>
        <w:spacing w:before="156" w:after="156"/>
      </w:pPr>
      <w:bookmarkStart w:id="54" w:name="_Toc29763"/>
      <w:r>
        <w:rPr>
          <w:rFonts w:hint="eastAsia"/>
        </w:rPr>
        <w:t>排袋</w:t>
      </w:r>
      <w:bookmarkEnd w:id="54"/>
    </w:p>
    <w:p w14:paraId="58D8D331">
      <w:pPr>
        <w:pStyle w:val="57"/>
        <w:ind w:firstLine="420"/>
      </w:pPr>
      <w:r>
        <w:t>菌丝</w:t>
      </w:r>
      <w:r>
        <w:rPr>
          <w:rFonts w:hint="eastAsia"/>
        </w:rPr>
        <w:t>长满</w:t>
      </w:r>
      <w:r>
        <w:t>菌袋</w:t>
      </w:r>
      <w:r>
        <w:rPr>
          <w:rFonts w:hint="eastAsia"/>
        </w:rPr>
        <w:t>、环境温度稳定在22</w:t>
      </w:r>
      <w:r>
        <w:t> </w:t>
      </w:r>
      <w:r>
        <w:rPr>
          <w:rFonts w:hint="eastAsia"/>
        </w:rPr>
        <w:t>℃以上时</w:t>
      </w:r>
      <w:r>
        <w:t>及时移入芝棚，</w:t>
      </w:r>
      <w:r>
        <w:rPr>
          <w:rFonts w:hint="eastAsia"/>
        </w:rPr>
        <w:t>沿</w:t>
      </w:r>
      <w:r>
        <w:t>畦垄</w:t>
      </w:r>
      <w:r>
        <w:rPr>
          <w:rFonts w:hint="eastAsia"/>
        </w:rPr>
        <w:t>方向垂直平放于畦垄上，墙式</w:t>
      </w:r>
      <w:r>
        <w:t>码垛6</w:t>
      </w:r>
      <w:r>
        <w:rPr>
          <w:rFonts w:hint="eastAsia"/>
        </w:rPr>
        <w:t>层</w:t>
      </w:r>
      <w:r>
        <w:t>～</w:t>
      </w:r>
      <w:r>
        <w:rPr>
          <w:rFonts w:hint="eastAsia"/>
        </w:rPr>
        <w:t>8层</w:t>
      </w:r>
      <w:r>
        <w:t>高，每袋间隔</w:t>
      </w:r>
      <w:r>
        <w:rPr>
          <w:rFonts w:hint="eastAsia"/>
        </w:rPr>
        <w:t>1</w:t>
      </w:r>
      <w:r>
        <w:t> </w:t>
      </w:r>
      <w:r>
        <w:rPr>
          <w:rFonts w:hint="eastAsia"/>
        </w:rPr>
        <w:t>cm</w:t>
      </w:r>
      <w:r>
        <w:t>～</w:t>
      </w:r>
      <w:r>
        <w:rPr>
          <w:rFonts w:hint="eastAsia"/>
        </w:rPr>
        <w:t>2</w:t>
      </w:r>
      <w:r>
        <w:t> </w:t>
      </w:r>
      <w:r>
        <w:rPr>
          <w:rFonts w:hint="eastAsia"/>
        </w:rPr>
        <w:t>cm，或立体网架摆放，每网格放1袋。</w:t>
      </w:r>
    </w:p>
    <w:p w14:paraId="112AF02C">
      <w:pPr>
        <w:pStyle w:val="106"/>
        <w:spacing w:before="156" w:after="156"/>
      </w:pPr>
      <w:bookmarkStart w:id="55" w:name="_Toc21050"/>
      <w:r>
        <w:rPr>
          <w:rFonts w:hint="eastAsia"/>
        </w:rPr>
        <w:t>出芝管理</w:t>
      </w:r>
      <w:bookmarkEnd w:id="55"/>
    </w:p>
    <w:p w14:paraId="374C74A4">
      <w:pPr>
        <w:pStyle w:val="66"/>
        <w:spacing w:before="156" w:after="156"/>
      </w:pPr>
      <w:r>
        <w:rPr>
          <w:rFonts w:hint="eastAsia"/>
        </w:rPr>
        <w:t>开口</w:t>
      </w:r>
    </w:p>
    <w:p w14:paraId="0B239B50">
      <w:pPr>
        <w:pStyle w:val="57"/>
        <w:ind w:firstLine="420"/>
      </w:pPr>
      <w:r>
        <w:t>排袋后静置</w:t>
      </w:r>
      <w:r>
        <w:rPr>
          <w:rFonts w:hint="eastAsia"/>
        </w:rPr>
        <w:t>2</w:t>
      </w:r>
      <w:r>
        <w:t> </w:t>
      </w:r>
      <w:r>
        <w:rPr>
          <w:rFonts w:hint="eastAsia"/>
        </w:rPr>
        <w:t>d</w:t>
      </w:r>
      <w:r>
        <w:t>～</w:t>
      </w:r>
      <w:r>
        <w:rPr>
          <w:rFonts w:hint="eastAsia"/>
        </w:rPr>
        <w:t>3</w:t>
      </w:r>
      <w:r>
        <w:t> </w:t>
      </w:r>
      <w:r>
        <w:rPr>
          <w:rFonts w:hint="eastAsia"/>
        </w:rPr>
        <w:t>d，扎口菌袋</w:t>
      </w:r>
      <w:r>
        <w:t>用消毒的开口器沿扎口内侧垂直割下，形成一个直径</w:t>
      </w:r>
      <w:r>
        <w:rPr>
          <w:rFonts w:hint="eastAsia"/>
        </w:rPr>
        <w:t>2</w:t>
      </w:r>
      <w:r>
        <w:t> cm的圆</w:t>
      </w:r>
      <w:r>
        <w:rPr>
          <w:rFonts w:hint="eastAsia"/>
        </w:rPr>
        <w:t>口</w:t>
      </w:r>
      <w:r>
        <w:t>，切口平整</w:t>
      </w:r>
      <w:r>
        <w:rPr>
          <w:rFonts w:hint="eastAsia"/>
        </w:rPr>
        <w:t>，</w:t>
      </w:r>
      <w:r>
        <w:t>每袋</w:t>
      </w:r>
      <w:r>
        <w:rPr>
          <w:rFonts w:hint="eastAsia"/>
        </w:rPr>
        <w:t>一端或两端开口；窝口菌袋去掉封口物即可。</w:t>
      </w:r>
    </w:p>
    <w:p w14:paraId="7009F678">
      <w:pPr>
        <w:pStyle w:val="66"/>
        <w:spacing w:before="156" w:after="156"/>
      </w:pPr>
      <w:r>
        <w:rPr>
          <w:rFonts w:hint="eastAsia"/>
        </w:rPr>
        <w:t>原基分化期</w:t>
      </w:r>
    </w:p>
    <w:p w14:paraId="49415274">
      <w:pPr>
        <w:pStyle w:val="57"/>
        <w:ind w:firstLine="420"/>
      </w:pPr>
      <w:r>
        <w:t>环境温度2</w:t>
      </w:r>
      <w:r>
        <w:rPr>
          <w:rFonts w:hint="eastAsia"/>
        </w:rPr>
        <w:t>5</w:t>
      </w:r>
      <w:r>
        <w:t> </w:t>
      </w:r>
      <w:r>
        <w:rPr>
          <w:rFonts w:hint="eastAsia"/>
        </w:rPr>
        <w:t>℃</w:t>
      </w:r>
      <w:r>
        <w:t>～</w:t>
      </w:r>
      <w:r>
        <w:rPr>
          <w:rFonts w:hint="eastAsia"/>
        </w:rPr>
        <w:t>30</w:t>
      </w:r>
      <w:r>
        <w:t> </w:t>
      </w:r>
      <w:r>
        <w:rPr>
          <w:rFonts w:hint="eastAsia"/>
        </w:rPr>
        <w:t>℃</w:t>
      </w:r>
      <w:r>
        <w:t>，空气相对湿度85</w:t>
      </w:r>
      <w:r>
        <w:rPr>
          <w:rFonts w:hint="eastAsia"/>
        </w:rPr>
        <w:t>％</w:t>
      </w:r>
      <w:r>
        <w:t>～9</w:t>
      </w:r>
      <w:r>
        <w:rPr>
          <w:rFonts w:hint="eastAsia"/>
        </w:rPr>
        <w:t>0</w:t>
      </w:r>
      <w:r>
        <w:t>％</w:t>
      </w:r>
      <w:r>
        <w:rPr>
          <w:rFonts w:hint="eastAsia"/>
        </w:rPr>
        <w:t>，</w:t>
      </w:r>
      <w:r>
        <w:t>光照强度</w:t>
      </w:r>
      <w:r>
        <w:rPr>
          <w:rFonts w:hint="eastAsia"/>
        </w:rPr>
        <w:t>1</w:t>
      </w:r>
      <w:r>
        <w:t> </w:t>
      </w:r>
      <w:r>
        <w:rPr>
          <w:rFonts w:hint="eastAsia"/>
        </w:rPr>
        <w:t>0</w:t>
      </w:r>
      <w:r>
        <w:t>0</w:t>
      </w:r>
      <w:r>
        <w:rPr>
          <w:rFonts w:hint="eastAsia"/>
        </w:rPr>
        <w:t>0</w:t>
      </w:r>
      <w:r>
        <w:t> </w:t>
      </w:r>
      <w:r>
        <w:rPr>
          <w:rFonts w:hint="eastAsia"/>
        </w:rPr>
        <w:t>lx</w:t>
      </w:r>
      <w:r>
        <w:t>～</w:t>
      </w:r>
      <w:r>
        <w:rPr>
          <w:rFonts w:hint="eastAsia"/>
        </w:rPr>
        <w:t>1</w:t>
      </w:r>
      <w:r>
        <w:t> </w:t>
      </w:r>
      <w:r>
        <w:rPr>
          <w:rFonts w:hint="eastAsia"/>
        </w:rPr>
        <w:t>50</w:t>
      </w:r>
      <w:r>
        <w:t>0 </w:t>
      </w:r>
      <w:r>
        <w:rPr>
          <w:rFonts w:hint="eastAsia"/>
        </w:rPr>
        <w:t>l</w:t>
      </w:r>
      <w:r>
        <w:t>x，</w:t>
      </w:r>
      <w:r>
        <w:rPr>
          <w:rFonts w:hint="eastAsia"/>
        </w:rPr>
        <w:t>通风次数与控制二氧化碳浓</w:t>
      </w:r>
      <w:r>
        <w:t>度</w:t>
      </w:r>
      <w:r>
        <w:rPr>
          <w:rFonts w:hint="eastAsia"/>
        </w:rPr>
        <w:t>范围相结合，或根据原基分化及天气情况适当通风</w:t>
      </w:r>
      <w:r>
        <w:t>。</w:t>
      </w:r>
    </w:p>
    <w:p w14:paraId="6A050587">
      <w:pPr>
        <w:pStyle w:val="66"/>
        <w:spacing w:before="156" w:after="156"/>
      </w:pPr>
      <w:r>
        <w:rPr>
          <w:rFonts w:hint="eastAsia"/>
        </w:rPr>
        <w:t>原基人工修整</w:t>
      </w:r>
    </w:p>
    <w:p w14:paraId="5DB200A1">
      <w:pPr>
        <w:pStyle w:val="57"/>
        <w:ind w:firstLine="420"/>
      </w:pPr>
      <w:r>
        <w:t>每袋</w:t>
      </w:r>
      <w:r>
        <w:rPr>
          <w:rFonts w:hint="eastAsia"/>
        </w:rPr>
        <w:t>口</w:t>
      </w:r>
      <w:r>
        <w:t>只留一个健壮的原基，用消毒刀片</w:t>
      </w:r>
      <w:r>
        <w:rPr>
          <w:rFonts w:hint="eastAsia"/>
        </w:rPr>
        <w:t>将</w:t>
      </w:r>
      <w:r>
        <w:t>多余原基削去，削口平整</w:t>
      </w:r>
      <w:r>
        <w:rPr>
          <w:rFonts w:hint="eastAsia"/>
        </w:rPr>
        <w:t>。</w:t>
      </w:r>
    </w:p>
    <w:p w14:paraId="10CF129B">
      <w:pPr>
        <w:pStyle w:val="66"/>
        <w:spacing w:before="156" w:after="156"/>
      </w:pPr>
      <w:r>
        <w:rPr>
          <w:rFonts w:hint="eastAsia"/>
        </w:rPr>
        <w:t>子实体生长期</w:t>
      </w:r>
    </w:p>
    <w:p w14:paraId="73099048">
      <w:pPr>
        <w:pStyle w:val="57"/>
        <w:ind w:firstLine="420"/>
      </w:pPr>
      <w:r>
        <w:t>环境温度2</w:t>
      </w:r>
      <w:r>
        <w:rPr>
          <w:rFonts w:hint="eastAsia"/>
        </w:rPr>
        <w:t>5</w:t>
      </w:r>
      <w:r>
        <w:t> </w:t>
      </w:r>
      <w:r>
        <w:rPr>
          <w:rFonts w:hint="eastAsia"/>
        </w:rPr>
        <w:t>℃</w:t>
      </w:r>
      <w:r>
        <w:t>～3</w:t>
      </w:r>
      <w:r>
        <w:rPr>
          <w:rFonts w:hint="eastAsia"/>
        </w:rPr>
        <w:t>5</w:t>
      </w:r>
      <w:r>
        <w:t> </w:t>
      </w:r>
      <w:r>
        <w:rPr>
          <w:rFonts w:hint="eastAsia"/>
        </w:rPr>
        <w:t>℃</w:t>
      </w:r>
      <w:r>
        <w:t>，湿度85</w:t>
      </w:r>
      <w:r>
        <w:rPr>
          <w:rFonts w:hint="eastAsia"/>
        </w:rPr>
        <w:t>％</w:t>
      </w:r>
      <w:r>
        <w:t>～</w:t>
      </w:r>
      <w:r>
        <w:rPr>
          <w:rFonts w:hint="eastAsia"/>
        </w:rPr>
        <w:t>95</w:t>
      </w:r>
      <w:r>
        <w:t>％，光照强度</w:t>
      </w:r>
      <w:r>
        <w:rPr>
          <w:rFonts w:hint="eastAsia"/>
        </w:rPr>
        <w:t>1</w:t>
      </w:r>
      <w:r>
        <w:t> </w:t>
      </w:r>
      <w:r>
        <w:rPr>
          <w:rFonts w:hint="eastAsia"/>
        </w:rPr>
        <w:t>000</w:t>
      </w:r>
      <w:r>
        <w:t> </w:t>
      </w:r>
      <w:r>
        <w:rPr>
          <w:rFonts w:hint="eastAsia"/>
        </w:rPr>
        <w:t>l</w:t>
      </w:r>
      <w:r>
        <w:t>x～</w:t>
      </w:r>
      <w:r>
        <w:rPr>
          <w:rFonts w:hint="eastAsia"/>
        </w:rPr>
        <w:t>2</w:t>
      </w:r>
      <w:r>
        <w:t> </w:t>
      </w:r>
      <w:r>
        <w:rPr>
          <w:rFonts w:hint="eastAsia"/>
        </w:rPr>
        <w:t>0</w:t>
      </w:r>
      <w:r>
        <w:t>00 </w:t>
      </w:r>
      <w:r>
        <w:rPr>
          <w:rFonts w:hint="eastAsia"/>
        </w:rPr>
        <w:t>l</w:t>
      </w:r>
      <w:r>
        <w:t>x，二氧化碳浓度不超过</w:t>
      </w:r>
      <w:r>
        <w:rPr>
          <w:rFonts w:hint="eastAsia"/>
        </w:rPr>
        <w:t>0.07％</w:t>
      </w:r>
      <w:r>
        <w:t>。</w:t>
      </w:r>
    </w:p>
    <w:p w14:paraId="50F12167">
      <w:pPr>
        <w:pStyle w:val="66"/>
        <w:spacing w:before="156" w:after="156"/>
      </w:pPr>
      <w:r>
        <w:rPr>
          <w:rFonts w:hint="eastAsia"/>
        </w:rPr>
        <w:t>子实体成熟期</w:t>
      </w:r>
    </w:p>
    <w:p w14:paraId="4D9B4103">
      <w:pPr>
        <w:pStyle w:val="57"/>
        <w:ind w:firstLine="420"/>
      </w:pPr>
      <w:r>
        <w:t>芝</w:t>
      </w:r>
      <w:r>
        <w:rPr>
          <w:rFonts w:hint="eastAsia"/>
        </w:rPr>
        <w:t>盖</w:t>
      </w:r>
      <w:r>
        <w:t>边缘生长点消失，边缘开始增厚，芝</w:t>
      </w:r>
      <w:r>
        <w:rPr>
          <w:rFonts w:hint="eastAsia"/>
        </w:rPr>
        <w:t>盖</w:t>
      </w:r>
      <w:r>
        <w:t>木质化加重，孢子</w:t>
      </w:r>
      <w:r>
        <w:rPr>
          <w:rFonts w:hint="eastAsia"/>
        </w:rPr>
        <w:t>开始释</w:t>
      </w:r>
      <w:r>
        <w:t>放。</w:t>
      </w:r>
      <w:r>
        <w:rPr>
          <w:rFonts w:hint="eastAsia"/>
        </w:rPr>
        <w:t>通风控制与二氧化碳浓度范围相结合</w:t>
      </w:r>
      <w:r>
        <w:t>，环境湿度</w:t>
      </w:r>
      <w:r>
        <w:rPr>
          <w:rFonts w:hint="eastAsia"/>
        </w:rPr>
        <w:t>75</w:t>
      </w:r>
      <w:r>
        <w:t>％～</w:t>
      </w:r>
      <w:r>
        <w:rPr>
          <w:rFonts w:hint="eastAsia"/>
        </w:rPr>
        <w:t>85％</w:t>
      </w:r>
      <w:r>
        <w:t>，温度2</w:t>
      </w:r>
      <w:r>
        <w:rPr>
          <w:rFonts w:hint="eastAsia"/>
        </w:rPr>
        <w:t>5</w:t>
      </w:r>
      <w:r>
        <w:t> </w:t>
      </w:r>
      <w:r>
        <w:rPr>
          <w:rFonts w:hint="eastAsia"/>
        </w:rPr>
        <w:t>℃</w:t>
      </w:r>
      <w:r>
        <w:t>～3</w:t>
      </w:r>
      <w:r>
        <w:rPr>
          <w:rFonts w:hint="eastAsia"/>
        </w:rPr>
        <w:t>5</w:t>
      </w:r>
      <w:r>
        <w:t> </w:t>
      </w:r>
      <w:r>
        <w:rPr>
          <w:rFonts w:hint="eastAsia"/>
        </w:rPr>
        <w:t>℃</w:t>
      </w:r>
      <w:r>
        <w:t>。</w:t>
      </w:r>
    </w:p>
    <w:p w14:paraId="5819ECB3">
      <w:pPr>
        <w:pStyle w:val="106"/>
        <w:spacing w:before="156" w:after="156"/>
      </w:pPr>
      <w:bookmarkStart w:id="56" w:name="_Toc4973"/>
      <w:r>
        <w:rPr>
          <w:rFonts w:hint="eastAsia"/>
        </w:rPr>
        <w:t>孢子粉采收</w:t>
      </w:r>
      <w:bookmarkEnd w:id="56"/>
    </w:p>
    <w:p w14:paraId="759A7C58">
      <w:pPr>
        <w:pStyle w:val="57"/>
        <w:ind w:firstLine="420"/>
      </w:pPr>
      <w:r>
        <w:rPr>
          <w:rFonts w:hint="eastAsia"/>
        </w:rPr>
        <w:t>灵芝孢子粉的采收应符合</w:t>
      </w:r>
      <w:r>
        <w:t xml:space="preserve">GB/T </w:t>
      </w:r>
      <w:r>
        <w:rPr>
          <w:rFonts w:hint="eastAsia"/>
        </w:rPr>
        <w:t>29344的规定。</w:t>
      </w:r>
    </w:p>
    <w:p w14:paraId="42A13CB2">
      <w:pPr>
        <w:pStyle w:val="106"/>
        <w:spacing w:before="156" w:after="156"/>
      </w:pPr>
      <w:bookmarkStart w:id="57" w:name="_Toc18496"/>
      <w:r>
        <w:rPr>
          <w:rFonts w:hint="eastAsia"/>
        </w:rPr>
        <w:t>子实体采收</w:t>
      </w:r>
      <w:bookmarkEnd w:id="57"/>
    </w:p>
    <w:p w14:paraId="3EA254E7">
      <w:pPr>
        <w:pStyle w:val="66"/>
        <w:spacing w:before="156" w:after="156"/>
      </w:pPr>
      <w:r>
        <w:rPr>
          <w:rFonts w:hint="eastAsia"/>
        </w:rPr>
        <w:t>采收标准</w:t>
      </w:r>
    </w:p>
    <w:p w14:paraId="749FEC65">
      <w:pPr>
        <w:pStyle w:val="57"/>
        <w:ind w:firstLine="420"/>
      </w:pPr>
      <w:r>
        <w:rPr>
          <w:rFonts w:hint="eastAsia"/>
        </w:rPr>
        <w:t>芝盖</w:t>
      </w:r>
      <w:r>
        <w:t>充分展开，</w:t>
      </w:r>
      <w:r>
        <w:rPr>
          <w:rFonts w:hint="eastAsia"/>
        </w:rPr>
        <w:t>生长点消失，芝盖不再加厚，表面呈现漆样光泽，</w:t>
      </w:r>
      <w:r>
        <w:t>孢子弹射完毕。</w:t>
      </w:r>
    </w:p>
    <w:p w14:paraId="363CCDA9">
      <w:pPr>
        <w:pStyle w:val="66"/>
        <w:spacing w:before="156" w:after="156"/>
      </w:pPr>
      <w:r>
        <w:rPr>
          <w:rFonts w:hint="eastAsia"/>
        </w:rPr>
        <w:t>采收</w:t>
      </w:r>
    </w:p>
    <w:p w14:paraId="55AAA6AF">
      <w:pPr>
        <w:pStyle w:val="57"/>
        <w:ind w:firstLine="420"/>
      </w:pPr>
      <w:r>
        <w:rPr>
          <w:rFonts w:hint="eastAsia"/>
        </w:rPr>
        <w:t>采收时子实体整体采下或</w:t>
      </w:r>
      <w:r>
        <w:t>用枝剪剪下子实体</w:t>
      </w:r>
      <w:r>
        <w:rPr>
          <w:rFonts w:hint="eastAsia"/>
        </w:rPr>
        <w:t>，第一潮芝出芝结束。</w:t>
      </w:r>
    </w:p>
    <w:p w14:paraId="0EC95CB2">
      <w:pPr>
        <w:pStyle w:val="106"/>
        <w:spacing w:before="156" w:after="156"/>
      </w:pPr>
      <w:bookmarkStart w:id="58" w:name="_Toc25458"/>
      <w:r>
        <w:rPr>
          <w:rFonts w:hint="eastAsia"/>
        </w:rPr>
        <w:t>转潮管理</w:t>
      </w:r>
      <w:bookmarkEnd w:id="58"/>
    </w:p>
    <w:p w14:paraId="5DF5D953">
      <w:pPr>
        <w:pStyle w:val="57"/>
        <w:ind w:firstLine="420"/>
      </w:pPr>
      <w:r>
        <w:rPr>
          <w:rFonts w:hint="eastAsia"/>
        </w:rPr>
        <w:t>子实体采收后，及时清理芝棚，管理方法同第一潮芝，一般能出二潮芝。</w:t>
      </w:r>
    </w:p>
    <w:p w14:paraId="3B9F3BFD">
      <w:pPr>
        <w:pStyle w:val="106"/>
        <w:spacing w:before="156" w:after="156"/>
      </w:pPr>
      <w:bookmarkStart w:id="59" w:name="_Toc15369"/>
      <w:r>
        <w:rPr>
          <w:rFonts w:hint="eastAsia"/>
        </w:rPr>
        <w:t>场地清理</w:t>
      </w:r>
      <w:bookmarkEnd w:id="59"/>
    </w:p>
    <w:p w14:paraId="66CD35E5">
      <w:pPr>
        <w:pStyle w:val="57"/>
        <w:ind w:firstLine="420"/>
      </w:pPr>
      <w:r>
        <w:rPr>
          <w:rFonts w:hint="eastAsia"/>
        </w:rPr>
        <w:t>出芝结束后，应及时清除废弃菌袋、杂物等，运离产地集中处理，并进行清洁卫生和消毒灭虫工作。场地</w:t>
      </w:r>
      <w:r>
        <w:rPr>
          <w:rFonts w:hint="eastAsia" w:cs="宋体"/>
          <w:szCs w:val="21"/>
        </w:rPr>
        <w:t>撒施生石灰粉，或用</w:t>
      </w:r>
      <w:r>
        <w:rPr>
          <w:rFonts w:hint="eastAsia"/>
          <w:color w:val="000000"/>
          <w:szCs w:val="21"/>
        </w:rPr>
        <w:t>5％</w:t>
      </w:r>
      <w:r>
        <w:rPr>
          <w:rFonts w:hint="eastAsia" w:cs="宋体"/>
          <w:szCs w:val="21"/>
        </w:rPr>
        <w:t>的石灰水喷洒畦面一次，</w:t>
      </w:r>
      <w:r>
        <w:rPr>
          <w:rFonts w:hint="eastAsia"/>
          <w:color w:val="000000"/>
        </w:rPr>
        <w:t>棚内</w:t>
      </w:r>
      <w:r>
        <w:rPr>
          <w:rFonts w:hint="eastAsia" w:cs="宋体"/>
          <w:szCs w:val="21"/>
        </w:rPr>
        <w:t>选用</w:t>
      </w:r>
      <w:r>
        <w:rPr>
          <w:color w:val="000000"/>
        </w:rPr>
        <w:t>已在食用菌上登记允许使用的药剂进行</w:t>
      </w:r>
      <w:r>
        <w:rPr>
          <w:rFonts w:hint="eastAsia"/>
          <w:color w:val="000000"/>
        </w:rPr>
        <w:t>喷洒消毒灭虫，</w:t>
      </w:r>
      <w:r>
        <w:rPr>
          <w:rFonts w:hint="eastAsia" w:cs="宋体"/>
          <w:szCs w:val="21"/>
        </w:rPr>
        <w:t>扣膜闷棚7</w:t>
      </w:r>
      <w:r>
        <w:t> </w:t>
      </w:r>
      <w:r>
        <w:rPr>
          <w:rFonts w:hint="eastAsia" w:cs="宋体"/>
          <w:szCs w:val="21"/>
        </w:rPr>
        <w:t>d～10</w:t>
      </w:r>
      <w:r>
        <w:t> </w:t>
      </w:r>
      <w:r>
        <w:rPr>
          <w:rFonts w:hint="eastAsia" w:cs="宋体"/>
          <w:szCs w:val="21"/>
        </w:rPr>
        <w:t>d，</w:t>
      </w:r>
      <w:r>
        <w:rPr>
          <w:rFonts w:hint="eastAsia"/>
        </w:rPr>
        <w:t>处理后，芝棚通风干燥至下次使用。</w:t>
      </w:r>
    </w:p>
    <w:p w14:paraId="69997BFD">
      <w:pPr>
        <w:pStyle w:val="106"/>
        <w:spacing w:before="156" w:after="156"/>
      </w:pPr>
      <w:bookmarkStart w:id="60" w:name="_Toc28208"/>
      <w:r>
        <w:rPr>
          <w:rFonts w:hint="eastAsia"/>
        </w:rPr>
        <w:t>子实体干制与贮存</w:t>
      </w:r>
      <w:bookmarkEnd w:id="60"/>
    </w:p>
    <w:p w14:paraId="40368508">
      <w:pPr>
        <w:pStyle w:val="57"/>
        <w:ind w:firstLine="420"/>
      </w:pPr>
      <w:r>
        <w:rPr>
          <w:rFonts w:hint="eastAsia"/>
        </w:rPr>
        <w:t>子实体采收后摊晒于晾晒架上自然晒干，或40</w:t>
      </w:r>
      <w:r>
        <w:t> </w:t>
      </w:r>
      <w:r>
        <w:rPr>
          <w:rFonts w:hint="eastAsia"/>
        </w:rPr>
        <w:t>℃～60</w:t>
      </w:r>
      <w:r>
        <w:t> </w:t>
      </w:r>
      <w:r>
        <w:rPr>
          <w:rFonts w:hint="eastAsia"/>
        </w:rPr>
        <w:t>℃烘干，子实体含水量不超过12％，装入塑料袋内密封，置于干燥阴凉处贮存。塑料容器应符合GB 4806.7的要求。</w:t>
      </w:r>
    </w:p>
    <w:p w14:paraId="069A61DF">
      <w:pPr>
        <w:pStyle w:val="105"/>
        <w:spacing w:before="312" w:after="312"/>
        <w:ind w:left="0"/>
      </w:pPr>
      <w:bookmarkStart w:id="61" w:name="_Toc13479"/>
      <w:r>
        <w:rPr>
          <w:rFonts w:hint="eastAsia"/>
        </w:rPr>
        <w:t>病虫害防治</w:t>
      </w:r>
      <w:bookmarkEnd w:id="61"/>
    </w:p>
    <w:p w14:paraId="6BA952F1">
      <w:pPr>
        <w:pStyle w:val="106"/>
        <w:spacing w:before="156" w:after="156"/>
      </w:pPr>
      <w:bookmarkStart w:id="62" w:name="_Toc22640"/>
      <w:r>
        <w:rPr>
          <w:rFonts w:hint="eastAsia"/>
        </w:rPr>
        <w:t>主要病虫害</w:t>
      </w:r>
      <w:bookmarkEnd w:id="62"/>
    </w:p>
    <w:p w14:paraId="59DFEAD3">
      <w:pPr>
        <w:pStyle w:val="57"/>
        <w:ind w:firstLine="420"/>
      </w:pPr>
      <w:r>
        <w:t>主要</w:t>
      </w:r>
      <w:r>
        <w:rPr>
          <w:rFonts w:hint="eastAsia"/>
        </w:rPr>
        <w:t>有细菌、</w:t>
      </w:r>
      <w:r>
        <w:t>青霉</w:t>
      </w:r>
      <w:r>
        <w:rPr>
          <w:rFonts w:hint="eastAsia"/>
        </w:rPr>
        <w:t>、绿霉、链孢霉等病原引致的</w:t>
      </w:r>
      <w:r>
        <w:t>病害，虫害</w:t>
      </w:r>
      <w:r>
        <w:rPr>
          <w:rFonts w:hint="eastAsia"/>
        </w:rPr>
        <w:t>有螨虫、夜蛾科幼虫等</w:t>
      </w:r>
      <w:r>
        <w:t>。</w:t>
      </w:r>
    </w:p>
    <w:p w14:paraId="7E40837B">
      <w:pPr>
        <w:pStyle w:val="106"/>
        <w:spacing w:before="156" w:after="156"/>
      </w:pPr>
      <w:bookmarkStart w:id="63" w:name="_Toc7606"/>
      <w:r>
        <w:rPr>
          <w:rFonts w:hint="eastAsia"/>
        </w:rPr>
        <w:t>农业防治</w:t>
      </w:r>
      <w:bookmarkEnd w:id="63"/>
    </w:p>
    <w:p w14:paraId="0C00F5EE">
      <w:pPr>
        <w:pStyle w:val="57"/>
        <w:ind w:firstLine="420"/>
      </w:pPr>
      <w:r>
        <w:t>选用抗逆性强</w:t>
      </w:r>
      <w:r>
        <w:rPr>
          <w:rFonts w:hint="eastAsia"/>
        </w:rPr>
        <w:t>、适应性广的良种，</w:t>
      </w:r>
      <w:r>
        <w:t>菌种适龄</w:t>
      </w:r>
      <w:r>
        <w:rPr>
          <w:rFonts w:hint="eastAsia"/>
        </w:rPr>
        <w:t>、活力强；选用优质培养基质，培养料灭菌彻底；</w:t>
      </w:r>
      <w:r>
        <w:t>芝棚及周</w:t>
      </w:r>
      <w:r>
        <w:rPr>
          <w:rFonts w:hint="eastAsia"/>
        </w:rPr>
        <w:t>边</w:t>
      </w:r>
      <w:r>
        <w:t>环境清洁卫生；适时栽培</w:t>
      </w:r>
      <w:r>
        <w:rPr>
          <w:rFonts w:hint="eastAsia"/>
        </w:rPr>
        <w:t>，</w:t>
      </w:r>
      <w:r>
        <w:t>科学管理</w:t>
      </w:r>
      <w:r>
        <w:rPr>
          <w:rFonts w:hint="eastAsia"/>
        </w:rPr>
        <w:t>。</w:t>
      </w:r>
    </w:p>
    <w:p w14:paraId="1BE762D6">
      <w:pPr>
        <w:pStyle w:val="106"/>
        <w:spacing w:before="156" w:after="156"/>
      </w:pPr>
      <w:bookmarkStart w:id="64" w:name="_Toc14708"/>
      <w:r>
        <w:rPr>
          <w:rFonts w:hint="eastAsia"/>
        </w:rPr>
        <w:t>物理防治</w:t>
      </w:r>
      <w:bookmarkEnd w:id="64"/>
    </w:p>
    <w:p w14:paraId="16C76823">
      <w:pPr>
        <w:pStyle w:val="57"/>
        <w:ind w:firstLine="420"/>
      </w:pPr>
      <w:r>
        <w:t>受杂菌</w:t>
      </w:r>
      <w:r>
        <w:rPr>
          <w:rFonts w:hint="eastAsia"/>
        </w:rPr>
        <w:t>侵</w:t>
      </w:r>
      <w:r>
        <w:t>染</w:t>
      </w:r>
      <w:r>
        <w:rPr>
          <w:rFonts w:hint="eastAsia"/>
        </w:rPr>
        <w:t>严重</w:t>
      </w:r>
      <w:r>
        <w:t>的</w:t>
      </w:r>
      <w:r>
        <w:rPr>
          <w:rFonts w:hint="eastAsia"/>
        </w:rPr>
        <w:t>菌袋</w:t>
      </w:r>
      <w:r>
        <w:t>应及时清除、销毁；</w:t>
      </w:r>
      <w:r>
        <w:rPr>
          <w:rFonts w:hint="eastAsia"/>
        </w:rPr>
        <w:t>局部杂菌感染的菌袋可用石灰水涂抹感染部位；芝棚内</w:t>
      </w:r>
      <w:r>
        <w:t>悬挂</w:t>
      </w:r>
      <w:r>
        <w:rPr>
          <w:rFonts w:hint="eastAsia"/>
        </w:rPr>
        <w:t>诱虫板</w:t>
      </w:r>
      <w:r>
        <w:t>和</w:t>
      </w:r>
      <w:r>
        <w:rPr>
          <w:rFonts w:hint="eastAsia"/>
        </w:rPr>
        <w:t>杀虫灯，通风口安装孔径0.425</w:t>
      </w:r>
      <w:r>
        <w:t> </w:t>
      </w:r>
      <w:r>
        <w:rPr>
          <w:rFonts w:hint="eastAsia"/>
        </w:rPr>
        <w:t>mm的防虫网</w:t>
      </w:r>
      <w:r>
        <w:t>。</w:t>
      </w:r>
    </w:p>
    <w:p w14:paraId="7AF2C99F">
      <w:pPr>
        <w:pStyle w:val="106"/>
        <w:spacing w:before="156" w:after="156"/>
      </w:pPr>
      <w:bookmarkStart w:id="65" w:name="_Toc27455"/>
      <w:r>
        <w:rPr>
          <w:rFonts w:hint="eastAsia"/>
        </w:rPr>
        <w:t>生物防治</w:t>
      </w:r>
      <w:bookmarkEnd w:id="65"/>
    </w:p>
    <w:p w14:paraId="4F2DE0D5">
      <w:pPr>
        <w:pStyle w:val="57"/>
        <w:ind w:firstLine="420"/>
      </w:pPr>
      <w:r>
        <w:rPr>
          <w:rFonts w:hint="eastAsia"/>
        </w:rPr>
        <w:t>宜使用植物源农药和微生物农药等防治病虫害。</w:t>
      </w:r>
    </w:p>
    <w:p w14:paraId="2E171FD3">
      <w:pPr>
        <w:pStyle w:val="106"/>
        <w:spacing w:before="156" w:after="156"/>
      </w:pPr>
      <w:bookmarkStart w:id="66" w:name="_Toc12221"/>
      <w:r>
        <w:rPr>
          <w:rFonts w:hint="eastAsia"/>
        </w:rPr>
        <w:t>化学防治</w:t>
      </w:r>
      <w:bookmarkEnd w:id="66"/>
    </w:p>
    <w:p w14:paraId="482CB054">
      <w:pPr>
        <w:pStyle w:val="57"/>
        <w:ind w:firstLine="420"/>
      </w:pPr>
      <w:r>
        <w:rPr>
          <w:rFonts w:hint="eastAsia"/>
        </w:rPr>
        <w:t>产</w:t>
      </w:r>
      <w:r>
        <w:t>前结合场地整理进行药剂消毒与灭虫，宜选用高效、低毒、低残留药剂或已在食用菌上登记允许使用的药剂进行有针对性</w:t>
      </w:r>
      <w:r>
        <w:rPr>
          <w:rFonts w:hint="eastAsia"/>
        </w:rPr>
        <w:t>的</w:t>
      </w:r>
      <w:r>
        <w:t>防治；出芝期不</w:t>
      </w:r>
      <w:r>
        <w:rPr>
          <w:rFonts w:hint="eastAsia"/>
        </w:rPr>
        <w:t>应</w:t>
      </w:r>
      <w:r>
        <w:t>向子实体</w:t>
      </w:r>
      <w:r>
        <w:rPr>
          <w:rFonts w:hint="eastAsia"/>
        </w:rPr>
        <w:t>喷洒化学药剂。</w:t>
      </w:r>
      <w:r>
        <w:t>农药的使用</w:t>
      </w:r>
      <w:r>
        <w:rPr>
          <w:rFonts w:hint="eastAsia"/>
        </w:rPr>
        <w:t>应符合</w:t>
      </w:r>
      <w:r>
        <w:t>NY/T 1276和</w:t>
      </w:r>
      <w:r>
        <w:rPr>
          <w:rFonts w:hint="eastAsia"/>
        </w:rPr>
        <w:t>NY/T 393</w:t>
      </w:r>
      <w:r>
        <w:t>的规定。</w:t>
      </w:r>
    </w:p>
    <w:p w14:paraId="757555B6">
      <w:pPr>
        <w:pStyle w:val="105"/>
        <w:spacing w:before="312" w:after="312"/>
        <w:ind w:left="0"/>
      </w:pPr>
      <w:bookmarkStart w:id="67" w:name="_Toc22995"/>
      <w:r>
        <w:rPr>
          <w:rFonts w:hint="eastAsia"/>
        </w:rPr>
        <w:t>生产档案</w:t>
      </w:r>
      <w:bookmarkEnd w:id="67"/>
    </w:p>
    <w:p w14:paraId="31662719">
      <w:pPr>
        <w:pStyle w:val="57"/>
        <w:ind w:firstLine="420"/>
        <w:rPr>
          <w:color w:val="000000"/>
        </w:rPr>
      </w:pPr>
      <w:r>
        <w:rPr>
          <w:rFonts w:hint="eastAsia"/>
        </w:rPr>
        <w:t>建立灵芝轻简化生产档案，对灵芝的产地环境、生产设施、投入品、生产管理过程、病虫害防治和采收等各环节所采取的措施应有详细、完整的记录。记录内容见附录A。生产档案应保存2年。</w:t>
      </w:r>
    </w:p>
    <w:bookmarkEnd w:id="23"/>
    <w:bookmarkEnd w:id="24"/>
    <w:bookmarkEnd w:id="25"/>
    <w:bookmarkEnd w:id="26"/>
    <w:bookmarkEnd w:id="27"/>
    <w:bookmarkEnd w:id="28"/>
    <w:bookmarkEnd w:id="29"/>
    <w:bookmarkEnd w:id="30"/>
    <w:p w14:paraId="36F6A6DA">
      <w:pPr>
        <w:pStyle w:val="57"/>
        <w:ind w:firstLine="420"/>
        <w:sectPr>
          <w:pgSz w:w="11906" w:h="16838"/>
          <w:pgMar w:top="2410" w:right="1134" w:bottom="1134" w:left="1134" w:header="1418" w:footer="1134" w:gutter="284"/>
          <w:pgNumType w:start="1"/>
          <w:cols w:space="425" w:num="1"/>
          <w:formProt w:val="0"/>
          <w:docGrid w:type="lines" w:linePitch="312" w:charSpace="0"/>
        </w:sectPr>
      </w:pPr>
    </w:p>
    <w:bookmarkEnd w:id="20"/>
    <w:p w14:paraId="2F6BB896">
      <w:pPr>
        <w:pStyle w:val="199"/>
        <w:rPr>
          <w:vanish w:val="0"/>
        </w:rPr>
      </w:pPr>
      <w:bookmarkStart w:id="68" w:name="BookMark5"/>
    </w:p>
    <w:p w14:paraId="52951F98">
      <w:pPr>
        <w:pStyle w:val="200"/>
        <w:rPr>
          <w:vanish w:val="0"/>
        </w:rPr>
      </w:pPr>
    </w:p>
    <w:p w14:paraId="3DE9E089">
      <w:pPr>
        <w:pStyle w:val="77"/>
        <w:spacing w:before="78" w:after="156"/>
      </w:pPr>
      <w:bookmarkStart w:id="69" w:name="_Toc9550"/>
      <w:r>
        <w:br w:type="textWrapping"/>
      </w:r>
      <w:r>
        <w:rPr>
          <w:rFonts w:hint="eastAsia"/>
        </w:rPr>
        <w:t>（资料性）</w:t>
      </w:r>
      <w:r>
        <w:br w:type="textWrapping"/>
      </w:r>
      <w:r>
        <w:rPr>
          <w:rFonts w:hint="eastAsia"/>
        </w:rPr>
        <w:t>灵芝轻简化生产记录事项</w:t>
      </w:r>
      <w:bookmarkEnd w:id="69"/>
    </w:p>
    <w:p w14:paraId="5057CB33">
      <w:pPr>
        <w:pStyle w:val="57"/>
        <w:ind w:firstLine="420"/>
      </w:pPr>
      <w:r>
        <w:rPr>
          <w:rFonts w:hint="eastAsia"/>
        </w:rPr>
        <w:t>灵芝轻简化生产记录事项见表A</w:t>
      </w:r>
      <w:r>
        <w:t>.1</w:t>
      </w:r>
      <w:r>
        <w:rPr>
          <w:rFonts w:hint="eastAsia"/>
        </w:rPr>
        <w:t>。</w:t>
      </w:r>
    </w:p>
    <w:bookmarkEnd w:id="68"/>
    <w:p w14:paraId="531B3ECA">
      <w:pPr>
        <w:pStyle w:val="78"/>
        <w:spacing w:before="156" w:after="156"/>
      </w:pPr>
      <w:bookmarkStart w:id="70" w:name="_Toc155862518"/>
      <w:bookmarkStart w:id="71" w:name="BookMark8"/>
      <w:r>
        <w:rPr>
          <w:rFonts w:hint="eastAsia"/>
        </w:rPr>
        <w:t>灵芝轻简化生产记录事项</w:t>
      </w:r>
      <w:bookmarkEnd w:id="70"/>
    </w:p>
    <w:tbl>
      <w:tblPr>
        <w:tblStyle w:val="28"/>
        <w:tblW w:w="8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2196"/>
        <w:gridCol w:w="2198"/>
        <w:gridCol w:w="2198"/>
      </w:tblGrid>
      <w:tr w14:paraId="421FC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96" w:type="dxa"/>
            <w:tcBorders>
              <w:top w:val="single" w:color="auto" w:sz="8" w:space="0"/>
              <w:left w:val="single" w:color="auto" w:sz="8" w:space="0"/>
              <w:bottom w:val="single" w:color="auto" w:sz="8" w:space="0"/>
            </w:tcBorders>
            <w:shd w:val="clear" w:color="auto" w:fill="auto"/>
            <w:vAlign w:val="center"/>
          </w:tcPr>
          <w:p w14:paraId="5744AE5D">
            <w:pPr>
              <w:spacing w:line="240" w:lineRule="auto"/>
              <w:contextualSpacing/>
              <w:jc w:val="center"/>
              <w:rPr>
                <w:rFonts w:ascii="宋体" w:hAnsi="宋体"/>
                <w:sz w:val="18"/>
                <w:szCs w:val="18"/>
              </w:rPr>
            </w:pPr>
            <w:r>
              <w:rPr>
                <w:rFonts w:hint="eastAsia" w:ascii="宋体" w:hAnsi="宋体"/>
                <w:sz w:val="18"/>
                <w:szCs w:val="18"/>
              </w:rPr>
              <w:t>记录事项</w:t>
            </w:r>
          </w:p>
        </w:tc>
        <w:tc>
          <w:tcPr>
            <w:tcW w:w="2196" w:type="dxa"/>
            <w:tcBorders>
              <w:top w:val="single" w:color="auto" w:sz="8" w:space="0"/>
              <w:bottom w:val="single" w:color="auto" w:sz="8" w:space="0"/>
              <w:right w:val="single" w:color="auto" w:sz="4" w:space="0"/>
            </w:tcBorders>
            <w:shd w:val="clear" w:color="auto" w:fill="auto"/>
            <w:vAlign w:val="center"/>
          </w:tcPr>
          <w:p w14:paraId="00E1FD9B">
            <w:pPr>
              <w:spacing w:line="240" w:lineRule="auto"/>
              <w:contextualSpacing/>
              <w:jc w:val="center"/>
              <w:rPr>
                <w:rFonts w:ascii="宋体" w:hAnsi="宋体"/>
                <w:sz w:val="18"/>
                <w:szCs w:val="18"/>
              </w:rPr>
            </w:pPr>
            <w:r>
              <w:rPr>
                <w:rFonts w:hint="eastAsia" w:ascii="宋体" w:hAnsi="宋体"/>
                <w:sz w:val="18"/>
                <w:szCs w:val="18"/>
              </w:rPr>
              <w:t>记录结果</w:t>
            </w:r>
          </w:p>
        </w:tc>
        <w:tc>
          <w:tcPr>
            <w:tcW w:w="2198" w:type="dxa"/>
            <w:tcBorders>
              <w:top w:val="single" w:color="auto" w:sz="8" w:space="0"/>
              <w:left w:val="single" w:color="auto" w:sz="4" w:space="0"/>
              <w:bottom w:val="single" w:color="auto" w:sz="8" w:space="0"/>
            </w:tcBorders>
            <w:shd w:val="clear" w:color="auto" w:fill="auto"/>
            <w:vAlign w:val="center"/>
          </w:tcPr>
          <w:p w14:paraId="78CAD249">
            <w:pPr>
              <w:spacing w:line="240" w:lineRule="auto"/>
              <w:contextualSpacing/>
              <w:jc w:val="center"/>
              <w:rPr>
                <w:rFonts w:ascii="宋体" w:hAnsi="宋体"/>
                <w:sz w:val="18"/>
                <w:szCs w:val="18"/>
              </w:rPr>
            </w:pPr>
            <w:r>
              <w:rPr>
                <w:rFonts w:hint="eastAsia" w:ascii="宋体" w:hAnsi="宋体"/>
                <w:sz w:val="18"/>
                <w:szCs w:val="18"/>
              </w:rPr>
              <w:t>记录事项</w:t>
            </w:r>
          </w:p>
        </w:tc>
        <w:tc>
          <w:tcPr>
            <w:tcW w:w="2198" w:type="dxa"/>
            <w:tcBorders>
              <w:top w:val="single" w:color="auto" w:sz="8" w:space="0"/>
              <w:bottom w:val="single" w:color="auto" w:sz="8" w:space="0"/>
              <w:right w:val="single" w:color="auto" w:sz="8" w:space="0"/>
            </w:tcBorders>
            <w:shd w:val="clear" w:color="auto" w:fill="auto"/>
            <w:vAlign w:val="center"/>
          </w:tcPr>
          <w:p w14:paraId="17F23674">
            <w:pPr>
              <w:spacing w:line="240" w:lineRule="auto"/>
              <w:contextualSpacing/>
              <w:jc w:val="center"/>
              <w:rPr>
                <w:rFonts w:ascii="宋体" w:hAnsi="宋体"/>
                <w:sz w:val="18"/>
                <w:szCs w:val="18"/>
              </w:rPr>
            </w:pPr>
            <w:r>
              <w:rPr>
                <w:rFonts w:hint="eastAsia" w:ascii="宋体" w:hAnsi="宋体"/>
                <w:sz w:val="18"/>
                <w:szCs w:val="18"/>
              </w:rPr>
              <w:t>记录结果</w:t>
            </w:r>
          </w:p>
        </w:tc>
      </w:tr>
      <w:tr w14:paraId="6633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96" w:type="dxa"/>
            <w:tcBorders>
              <w:top w:val="single" w:color="auto" w:sz="8" w:space="0"/>
              <w:left w:val="single" w:color="auto" w:sz="8" w:space="0"/>
            </w:tcBorders>
            <w:shd w:val="clear" w:color="auto" w:fill="auto"/>
            <w:vAlign w:val="center"/>
          </w:tcPr>
          <w:p w14:paraId="59735571">
            <w:pPr>
              <w:pStyle w:val="80"/>
              <w:numPr>
                <w:ilvl w:val="0"/>
                <w:numId w:val="0"/>
              </w:numPr>
              <w:wordWrap/>
              <w:spacing w:beforeLines="0" w:afterLines="0"/>
              <w:contextualSpacing/>
              <w:rPr>
                <w:rFonts w:ascii="宋体" w:hAnsi="宋体" w:eastAsia="宋体"/>
                <w:sz w:val="18"/>
                <w:szCs w:val="18"/>
              </w:rPr>
            </w:pPr>
            <w:r>
              <w:rPr>
                <w:rFonts w:hint="eastAsia" w:ascii="宋体" w:hAnsi="宋体" w:eastAsia="宋体"/>
                <w:sz w:val="18"/>
                <w:szCs w:val="18"/>
              </w:rPr>
              <w:t>生产环境空气质量</w:t>
            </w:r>
          </w:p>
        </w:tc>
        <w:tc>
          <w:tcPr>
            <w:tcW w:w="2196" w:type="dxa"/>
            <w:tcBorders>
              <w:top w:val="single" w:color="auto" w:sz="8" w:space="0"/>
              <w:right w:val="single" w:color="auto" w:sz="4" w:space="0"/>
            </w:tcBorders>
            <w:shd w:val="clear" w:color="auto" w:fill="auto"/>
            <w:vAlign w:val="center"/>
          </w:tcPr>
          <w:p w14:paraId="38A1C0D2">
            <w:pPr>
              <w:spacing w:line="240" w:lineRule="auto"/>
              <w:contextualSpacing/>
              <w:rPr>
                <w:rFonts w:ascii="宋体" w:hAnsi="宋体"/>
                <w:sz w:val="18"/>
                <w:szCs w:val="18"/>
              </w:rPr>
            </w:pPr>
          </w:p>
        </w:tc>
        <w:tc>
          <w:tcPr>
            <w:tcW w:w="2198" w:type="dxa"/>
            <w:tcBorders>
              <w:top w:val="single" w:color="auto" w:sz="8" w:space="0"/>
              <w:left w:val="single" w:color="auto" w:sz="4" w:space="0"/>
            </w:tcBorders>
            <w:shd w:val="clear" w:color="auto" w:fill="auto"/>
            <w:vAlign w:val="center"/>
          </w:tcPr>
          <w:p w14:paraId="306EF9ED">
            <w:pPr>
              <w:spacing w:line="240" w:lineRule="auto"/>
              <w:contextualSpacing/>
              <w:rPr>
                <w:rFonts w:ascii="宋体" w:hAnsi="宋体"/>
                <w:sz w:val="18"/>
                <w:szCs w:val="18"/>
              </w:rPr>
            </w:pPr>
            <w:r>
              <w:rPr>
                <w:rFonts w:hint="eastAsia" w:ascii="宋体" w:hAnsi="宋体"/>
                <w:sz w:val="18"/>
                <w:szCs w:val="18"/>
              </w:rPr>
              <w:t>发菌期间温度、湿度及通风情况</w:t>
            </w:r>
          </w:p>
        </w:tc>
        <w:tc>
          <w:tcPr>
            <w:tcW w:w="2198" w:type="dxa"/>
            <w:tcBorders>
              <w:top w:val="single" w:color="auto" w:sz="8" w:space="0"/>
              <w:right w:val="single" w:color="000000" w:themeColor="text1" w:sz="8" w:space="0"/>
            </w:tcBorders>
            <w:shd w:val="clear" w:color="auto" w:fill="auto"/>
            <w:vAlign w:val="center"/>
          </w:tcPr>
          <w:p w14:paraId="2C76D76F">
            <w:pPr>
              <w:spacing w:line="240" w:lineRule="auto"/>
              <w:contextualSpacing/>
              <w:rPr>
                <w:rFonts w:ascii="宋体" w:hAnsi="宋体"/>
                <w:sz w:val="18"/>
                <w:szCs w:val="18"/>
              </w:rPr>
            </w:pPr>
          </w:p>
        </w:tc>
      </w:tr>
      <w:tr w14:paraId="3E608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96" w:type="dxa"/>
            <w:tcBorders>
              <w:left w:val="single" w:color="auto" w:sz="8" w:space="0"/>
            </w:tcBorders>
            <w:shd w:val="clear" w:color="auto" w:fill="auto"/>
            <w:vAlign w:val="center"/>
          </w:tcPr>
          <w:p w14:paraId="626C2CC0">
            <w:pPr>
              <w:spacing w:line="240" w:lineRule="auto"/>
              <w:contextualSpacing/>
              <w:rPr>
                <w:rFonts w:ascii="宋体" w:hAnsi="宋体"/>
                <w:sz w:val="18"/>
                <w:szCs w:val="18"/>
              </w:rPr>
            </w:pPr>
            <w:r>
              <w:rPr>
                <w:rFonts w:hint="eastAsia" w:ascii="宋体" w:hAnsi="宋体"/>
                <w:sz w:val="18"/>
                <w:szCs w:val="18"/>
              </w:rPr>
              <w:t>生产用水质量</w:t>
            </w:r>
          </w:p>
        </w:tc>
        <w:tc>
          <w:tcPr>
            <w:tcW w:w="2196" w:type="dxa"/>
            <w:tcBorders>
              <w:right w:val="single" w:color="auto" w:sz="4" w:space="0"/>
            </w:tcBorders>
            <w:shd w:val="clear" w:color="auto" w:fill="auto"/>
            <w:vAlign w:val="center"/>
          </w:tcPr>
          <w:p w14:paraId="6AFDA674">
            <w:pPr>
              <w:spacing w:line="240" w:lineRule="auto"/>
              <w:contextualSpacing/>
              <w:rPr>
                <w:rFonts w:ascii="宋体" w:hAnsi="宋体"/>
                <w:sz w:val="18"/>
                <w:szCs w:val="18"/>
              </w:rPr>
            </w:pPr>
          </w:p>
        </w:tc>
        <w:tc>
          <w:tcPr>
            <w:tcW w:w="2198" w:type="dxa"/>
            <w:tcBorders>
              <w:left w:val="single" w:color="auto" w:sz="4" w:space="0"/>
            </w:tcBorders>
            <w:shd w:val="clear" w:color="auto" w:fill="auto"/>
            <w:vAlign w:val="center"/>
          </w:tcPr>
          <w:p w14:paraId="1FE78EC7">
            <w:pPr>
              <w:spacing w:line="240" w:lineRule="auto"/>
              <w:contextualSpacing/>
              <w:rPr>
                <w:rFonts w:ascii="宋体" w:hAnsi="宋体"/>
                <w:sz w:val="18"/>
                <w:szCs w:val="18"/>
              </w:rPr>
            </w:pPr>
            <w:r>
              <w:rPr>
                <w:rFonts w:hint="eastAsia" w:ascii="宋体" w:hAnsi="宋体"/>
                <w:sz w:val="18"/>
                <w:szCs w:val="18"/>
              </w:rPr>
              <w:t>菌袋进棚前后棚内消毒、杀虫用药</w:t>
            </w:r>
          </w:p>
        </w:tc>
        <w:tc>
          <w:tcPr>
            <w:tcW w:w="2198" w:type="dxa"/>
            <w:tcBorders>
              <w:right w:val="single" w:color="000000" w:themeColor="text1" w:sz="8" w:space="0"/>
            </w:tcBorders>
            <w:shd w:val="clear" w:color="auto" w:fill="auto"/>
            <w:vAlign w:val="center"/>
          </w:tcPr>
          <w:p w14:paraId="115D2BA8">
            <w:pPr>
              <w:spacing w:line="240" w:lineRule="auto"/>
              <w:contextualSpacing/>
              <w:rPr>
                <w:rFonts w:ascii="宋体" w:hAnsi="宋体"/>
                <w:sz w:val="18"/>
                <w:szCs w:val="18"/>
              </w:rPr>
            </w:pPr>
          </w:p>
        </w:tc>
      </w:tr>
      <w:tr w14:paraId="5B02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96" w:type="dxa"/>
            <w:tcBorders>
              <w:left w:val="single" w:color="auto" w:sz="8" w:space="0"/>
            </w:tcBorders>
            <w:shd w:val="clear" w:color="auto" w:fill="auto"/>
            <w:vAlign w:val="center"/>
          </w:tcPr>
          <w:p w14:paraId="18BA7C5F">
            <w:pPr>
              <w:spacing w:line="240" w:lineRule="auto"/>
              <w:contextualSpacing/>
              <w:rPr>
                <w:rFonts w:ascii="宋体" w:hAnsi="宋体"/>
                <w:sz w:val="18"/>
                <w:szCs w:val="18"/>
              </w:rPr>
            </w:pPr>
            <w:r>
              <w:rPr>
                <w:rFonts w:hint="eastAsia" w:ascii="宋体" w:hAnsi="宋体"/>
                <w:sz w:val="18"/>
                <w:szCs w:val="18"/>
              </w:rPr>
              <w:t>芝棚土壤环境质量</w:t>
            </w:r>
          </w:p>
        </w:tc>
        <w:tc>
          <w:tcPr>
            <w:tcW w:w="2196" w:type="dxa"/>
            <w:tcBorders>
              <w:right w:val="single" w:color="auto" w:sz="4" w:space="0"/>
            </w:tcBorders>
            <w:shd w:val="clear" w:color="auto" w:fill="auto"/>
            <w:vAlign w:val="center"/>
          </w:tcPr>
          <w:p w14:paraId="4542196F">
            <w:pPr>
              <w:spacing w:line="240" w:lineRule="auto"/>
              <w:contextualSpacing/>
              <w:rPr>
                <w:rFonts w:ascii="宋体" w:hAnsi="宋体"/>
                <w:sz w:val="18"/>
                <w:szCs w:val="18"/>
              </w:rPr>
            </w:pPr>
          </w:p>
        </w:tc>
        <w:tc>
          <w:tcPr>
            <w:tcW w:w="2198" w:type="dxa"/>
            <w:tcBorders>
              <w:left w:val="single" w:color="auto" w:sz="4" w:space="0"/>
            </w:tcBorders>
            <w:shd w:val="clear" w:color="auto" w:fill="auto"/>
            <w:vAlign w:val="center"/>
          </w:tcPr>
          <w:p w14:paraId="13D697C3">
            <w:pPr>
              <w:spacing w:line="240" w:lineRule="auto"/>
              <w:contextualSpacing/>
              <w:rPr>
                <w:rFonts w:ascii="宋体" w:hAnsi="宋体"/>
                <w:sz w:val="18"/>
                <w:szCs w:val="18"/>
              </w:rPr>
            </w:pPr>
            <w:r>
              <w:rPr>
                <w:rFonts w:hint="eastAsia" w:ascii="宋体" w:hAnsi="宋体"/>
                <w:sz w:val="18"/>
                <w:szCs w:val="18"/>
              </w:rPr>
              <w:t>菌袋开口日期</w:t>
            </w:r>
          </w:p>
        </w:tc>
        <w:tc>
          <w:tcPr>
            <w:tcW w:w="2198" w:type="dxa"/>
            <w:tcBorders>
              <w:right w:val="single" w:color="000000" w:themeColor="text1" w:sz="8" w:space="0"/>
            </w:tcBorders>
            <w:shd w:val="clear" w:color="auto" w:fill="auto"/>
            <w:vAlign w:val="center"/>
          </w:tcPr>
          <w:p w14:paraId="2A88BE8D">
            <w:pPr>
              <w:spacing w:line="240" w:lineRule="auto"/>
              <w:contextualSpacing/>
              <w:rPr>
                <w:rFonts w:ascii="宋体" w:hAnsi="宋体"/>
                <w:sz w:val="18"/>
                <w:szCs w:val="18"/>
              </w:rPr>
            </w:pPr>
          </w:p>
        </w:tc>
      </w:tr>
      <w:tr w14:paraId="4DB97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96" w:type="dxa"/>
            <w:tcBorders>
              <w:left w:val="single" w:color="auto" w:sz="8" w:space="0"/>
            </w:tcBorders>
            <w:shd w:val="clear" w:color="auto" w:fill="auto"/>
            <w:vAlign w:val="center"/>
          </w:tcPr>
          <w:p w14:paraId="1AA07344">
            <w:pPr>
              <w:spacing w:line="240" w:lineRule="auto"/>
              <w:contextualSpacing/>
              <w:rPr>
                <w:rFonts w:ascii="宋体" w:hAnsi="宋体"/>
                <w:sz w:val="18"/>
                <w:szCs w:val="18"/>
              </w:rPr>
            </w:pPr>
            <w:r>
              <w:rPr>
                <w:rFonts w:hint="eastAsia" w:ascii="宋体" w:hAnsi="宋体"/>
                <w:sz w:val="18"/>
                <w:szCs w:val="18"/>
              </w:rPr>
              <w:t>芝棚设施材料、结构</w:t>
            </w:r>
          </w:p>
        </w:tc>
        <w:tc>
          <w:tcPr>
            <w:tcW w:w="2196" w:type="dxa"/>
            <w:tcBorders>
              <w:right w:val="single" w:color="auto" w:sz="4" w:space="0"/>
            </w:tcBorders>
            <w:shd w:val="clear" w:color="auto" w:fill="auto"/>
            <w:vAlign w:val="center"/>
          </w:tcPr>
          <w:p w14:paraId="1872C076">
            <w:pPr>
              <w:spacing w:line="240" w:lineRule="auto"/>
              <w:contextualSpacing/>
              <w:rPr>
                <w:rFonts w:ascii="宋体" w:hAnsi="宋体"/>
                <w:sz w:val="18"/>
                <w:szCs w:val="18"/>
              </w:rPr>
            </w:pPr>
          </w:p>
        </w:tc>
        <w:tc>
          <w:tcPr>
            <w:tcW w:w="2198" w:type="dxa"/>
            <w:tcBorders>
              <w:left w:val="single" w:color="auto" w:sz="4" w:space="0"/>
            </w:tcBorders>
            <w:shd w:val="clear" w:color="auto" w:fill="auto"/>
            <w:vAlign w:val="center"/>
          </w:tcPr>
          <w:p w14:paraId="054E30A8">
            <w:pPr>
              <w:spacing w:line="240" w:lineRule="auto"/>
              <w:contextualSpacing/>
              <w:rPr>
                <w:rFonts w:ascii="宋体" w:hAnsi="宋体"/>
                <w:sz w:val="18"/>
                <w:szCs w:val="18"/>
              </w:rPr>
            </w:pPr>
            <w:r>
              <w:rPr>
                <w:rFonts w:hint="eastAsia" w:ascii="宋体" w:hAnsi="宋体"/>
                <w:sz w:val="18"/>
                <w:szCs w:val="18"/>
              </w:rPr>
              <w:t>出芝期间温湿度、通风及遮阴情况</w:t>
            </w:r>
          </w:p>
        </w:tc>
        <w:tc>
          <w:tcPr>
            <w:tcW w:w="2198" w:type="dxa"/>
            <w:tcBorders>
              <w:right w:val="single" w:color="000000" w:themeColor="text1" w:sz="8" w:space="0"/>
            </w:tcBorders>
            <w:shd w:val="clear" w:color="auto" w:fill="auto"/>
            <w:vAlign w:val="center"/>
          </w:tcPr>
          <w:p w14:paraId="23AD62F1">
            <w:pPr>
              <w:spacing w:line="240" w:lineRule="auto"/>
              <w:contextualSpacing/>
              <w:rPr>
                <w:rFonts w:ascii="宋体" w:hAnsi="宋体"/>
                <w:sz w:val="18"/>
                <w:szCs w:val="18"/>
              </w:rPr>
            </w:pPr>
          </w:p>
        </w:tc>
      </w:tr>
      <w:tr w14:paraId="2AA42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96" w:type="dxa"/>
            <w:tcBorders>
              <w:left w:val="single" w:color="auto" w:sz="8" w:space="0"/>
            </w:tcBorders>
            <w:shd w:val="clear" w:color="auto" w:fill="auto"/>
            <w:vAlign w:val="center"/>
          </w:tcPr>
          <w:p w14:paraId="60007E0C">
            <w:pPr>
              <w:spacing w:line="240" w:lineRule="auto"/>
              <w:contextualSpacing/>
              <w:rPr>
                <w:rFonts w:ascii="宋体" w:hAnsi="宋体"/>
                <w:sz w:val="18"/>
                <w:szCs w:val="18"/>
              </w:rPr>
            </w:pPr>
            <w:r>
              <w:rPr>
                <w:rFonts w:hint="eastAsia" w:ascii="宋体" w:hAnsi="宋体"/>
                <w:sz w:val="18"/>
                <w:szCs w:val="18"/>
              </w:rPr>
              <w:t>配套设备、生产用器具</w:t>
            </w:r>
          </w:p>
        </w:tc>
        <w:tc>
          <w:tcPr>
            <w:tcW w:w="2196" w:type="dxa"/>
            <w:tcBorders>
              <w:right w:val="single" w:color="auto" w:sz="4" w:space="0"/>
            </w:tcBorders>
            <w:shd w:val="clear" w:color="auto" w:fill="auto"/>
            <w:vAlign w:val="center"/>
          </w:tcPr>
          <w:p w14:paraId="0DF07006">
            <w:pPr>
              <w:spacing w:line="240" w:lineRule="auto"/>
              <w:contextualSpacing/>
              <w:rPr>
                <w:rFonts w:ascii="宋体" w:hAnsi="宋体"/>
                <w:sz w:val="18"/>
                <w:szCs w:val="18"/>
              </w:rPr>
            </w:pPr>
          </w:p>
        </w:tc>
        <w:tc>
          <w:tcPr>
            <w:tcW w:w="2198" w:type="dxa"/>
            <w:tcBorders>
              <w:left w:val="single" w:color="auto" w:sz="4" w:space="0"/>
            </w:tcBorders>
            <w:shd w:val="clear" w:color="auto" w:fill="auto"/>
            <w:vAlign w:val="center"/>
          </w:tcPr>
          <w:p w14:paraId="5C064B9A">
            <w:pPr>
              <w:spacing w:line="240" w:lineRule="auto"/>
              <w:contextualSpacing/>
              <w:rPr>
                <w:rFonts w:ascii="宋体" w:hAnsi="宋体"/>
                <w:sz w:val="18"/>
                <w:szCs w:val="18"/>
              </w:rPr>
            </w:pPr>
            <w:r>
              <w:rPr>
                <w:rFonts w:hint="eastAsia" w:ascii="宋体" w:hAnsi="宋体"/>
                <w:sz w:val="18"/>
                <w:szCs w:val="18"/>
              </w:rPr>
              <w:t>出芝期间病虫害发生及用药情况</w:t>
            </w:r>
          </w:p>
        </w:tc>
        <w:tc>
          <w:tcPr>
            <w:tcW w:w="2198" w:type="dxa"/>
            <w:tcBorders>
              <w:right w:val="single" w:color="000000" w:themeColor="text1" w:sz="8" w:space="0"/>
            </w:tcBorders>
            <w:shd w:val="clear" w:color="auto" w:fill="auto"/>
            <w:vAlign w:val="center"/>
          </w:tcPr>
          <w:p w14:paraId="788F4056">
            <w:pPr>
              <w:spacing w:line="240" w:lineRule="auto"/>
              <w:contextualSpacing/>
              <w:rPr>
                <w:rFonts w:ascii="宋体" w:hAnsi="宋体"/>
                <w:sz w:val="18"/>
                <w:szCs w:val="18"/>
              </w:rPr>
            </w:pPr>
          </w:p>
        </w:tc>
      </w:tr>
      <w:tr w14:paraId="15F44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96" w:type="dxa"/>
            <w:tcBorders>
              <w:left w:val="single" w:color="auto" w:sz="8" w:space="0"/>
            </w:tcBorders>
            <w:shd w:val="clear" w:color="auto" w:fill="auto"/>
            <w:vAlign w:val="center"/>
          </w:tcPr>
          <w:p w14:paraId="7710113A">
            <w:pPr>
              <w:spacing w:line="240" w:lineRule="auto"/>
              <w:contextualSpacing/>
              <w:rPr>
                <w:rFonts w:ascii="宋体" w:hAnsi="宋体"/>
                <w:sz w:val="18"/>
                <w:szCs w:val="18"/>
              </w:rPr>
            </w:pPr>
            <w:r>
              <w:rPr>
                <w:rFonts w:hint="eastAsia" w:ascii="宋体" w:hAnsi="宋体"/>
                <w:sz w:val="18"/>
                <w:szCs w:val="18"/>
              </w:rPr>
              <w:t>菌种来源</w:t>
            </w:r>
          </w:p>
        </w:tc>
        <w:tc>
          <w:tcPr>
            <w:tcW w:w="2196" w:type="dxa"/>
            <w:tcBorders>
              <w:right w:val="single" w:color="auto" w:sz="4" w:space="0"/>
            </w:tcBorders>
            <w:shd w:val="clear" w:color="auto" w:fill="auto"/>
            <w:vAlign w:val="center"/>
          </w:tcPr>
          <w:p w14:paraId="3E71C852">
            <w:pPr>
              <w:spacing w:line="240" w:lineRule="auto"/>
              <w:contextualSpacing/>
              <w:rPr>
                <w:rFonts w:ascii="宋体" w:hAnsi="宋体"/>
                <w:sz w:val="18"/>
                <w:szCs w:val="18"/>
              </w:rPr>
            </w:pPr>
          </w:p>
        </w:tc>
        <w:tc>
          <w:tcPr>
            <w:tcW w:w="2198" w:type="dxa"/>
            <w:tcBorders>
              <w:left w:val="single" w:color="auto" w:sz="4" w:space="0"/>
            </w:tcBorders>
            <w:shd w:val="clear" w:color="auto" w:fill="auto"/>
            <w:vAlign w:val="center"/>
          </w:tcPr>
          <w:p w14:paraId="2E1EBB25">
            <w:pPr>
              <w:spacing w:line="240" w:lineRule="auto"/>
              <w:contextualSpacing/>
              <w:rPr>
                <w:rFonts w:ascii="宋体" w:hAnsi="宋体"/>
                <w:sz w:val="18"/>
                <w:szCs w:val="18"/>
              </w:rPr>
            </w:pPr>
            <w:r>
              <w:rPr>
                <w:rFonts w:hint="eastAsia" w:ascii="宋体" w:hAnsi="宋体"/>
                <w:sz w:val="18"/>
                <w:szCs w:val="18"/>
              </w:rPr>
              <w:t>孢子粉采收日期、采收数量</w:t>
            </w:r>
          </w:p>
        </w:tc>
        <w:tc>
          <w:tcPr>
            <w:tcW w:w="2198" w:type="dxa"/>
            <w:tcBorders>
              <w:right w:val="single" w:color="000000" w:themeColor="text1" w:sz="8" w:space="0"/>
            </w:tcBorders>
            <w:shd w:val="clear" w:color="auto" w:fill="auto"/>
            <w:vAlign w:val="center"/>
          </w:tcPr>
          <w:p w14:paraId="6BFE4D9C">
            <w:pPr>
              <w:spacing w:line="240" w:lineRule="auto"/>
              <w:contextualSpacing/>
              <w:rPr>
                <w:rFonts w:ascii="宋体" w:hAnsi="宋体"/>
                <w:sz w:val="18"/>
                <w:szCs w:val="18"/>
              </w:rPr>
            </w:pPr>
          </w:p>
        </w:tc>
      </w:tr>
      <w:tr w14:paraId="41F5C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96" w:type="dxa"/>
            <w:tcBorders>
              <w:left w:val="single" w:color="auto" w:sz="8" w:space="0"/>
            </w:tcBorders>
            <w:shd w:val="clear" w:color="auto" w:fill="auto"/>
            <w:vAlign w:val="center"/>
          </w:tcPr>
          <w:p w14:paraId="57FB1136">
            <w:pPr>
              <w:spacing w:line="240" w:lineRule="auto"/>
              <w:contextualSpacing/>
              <w:rPr>
                <w:rFonts w:ascii="宋体" w:hAnsi="宋体"/>
                <w:sz w:val="18"/>
                <w:szCs w:val="18"/>
              </w:rPr>
            </w:pPr>
            <w:r>
              <w:rPr>
                <w:rFonts w:hint="eastAsia" w:ascii="宋体" w:hAnsi="宋体"/>
                <w:sz w:val="18"/>
                <w:szCs w:val="18"/>
              </w:rPr>
              <w:t>菌种用法、用量</w:t>
            </w:r>
          </w:p>
        </w:tc>
        <w:tc>
          <w:tcPr>
            <w:tcW w:w="2196" w:type="dxa"/>
            <w:tcBorders>
              <w:right w:val="single" w:color="auto" w:sz="4" w:space="0"/>
            </w:tcBorders>
            <w:shd w:val="clear" w:color="auto" w:fill="auto"/>
            <w:vAlign w:val="center"/>
          </w:tcPr>
          <w:p w14:paraId="55D01ED4">
            <w:pPr>
              <w:spacing w:line="240" w:lineRule="auto"/>
              <w:contextualSpacing/>
              <w:rPr>
                <w:rFonts w:ascii="宋体" w:hAnsi="宋体"/>
                <w:sz w:val="18"/>
                <w:szCs w:val="18"/>
              </w:rPr>
            </w:pPr>
          </w:p>
        </w:tc>
        <w:tc>
          <w:tcPr>
            <w:tcW w:w="2198" w:type="dxa"/>
            <w:tcBorders>
              <w:left w:val="single" w:color="auto" w:sz="4" w:space="0"/>
            </w:tcBorders>
            <w:shd w:val="clear" w:color="auto" w:fill="auto"/>
            <w:vAlign w:val="center"/>
          </w:tcPr>
          <w:p w14:paraId="2C3B9F88">
            <w:pPr>
              <w:spacing w:line="240" w:lineRule="auto"/>
              <w:contextualSpacing/>
              <w:rPr>
                <w:rFonts w:ascii="宋体" w:hAnsi="宋体"/>
                <w:sz w:val="18"/>
                <w:szCs w:val="18"/>
              </w:rPr>
            </w:pPr>
            <w:r>
              <w:rPr>
                <w:rFonts w:hint="eastAsia" w:ascii="宋体" w:hAnsi="宋体"/>
                <w:sz w:val="18"/>
                <w:szCs w:val="18"/>
              </w:rPr>
              <w:t>子实体采收日期、采收数量、商品芝等级</w:t>
            </w:r>
          </w:p>
        </w:tc>
        <w:tc>
          <w:tcPr>
            <w:tcW w:w="2198" w:type="dxa"/>
            <w:tcBorders>
              <w:right w:val="single" w:color="000000" w:themeColor="text1" w:sz="8" w:space="0"/>
            </w:tcBorders>
            <w:shd w:val="clear" w:color="auto" w:fill="auto"/>
            <w:vAlign w:val="center"/>
          </w:tcPr>
          <w:p w14:paraId="0663E932">
            <w:pPr>
              <w:spacing w:line="240" w:lineRule="auto"/>
              <w:contextualSpacing/>
              <w:rPr>
                <w:rFonts w:ascii="宋体" w:hAnsi="宋体"/>
                <w:sz w:val="18"/>
                <w:szCs w:val="18"/>
              </w:rPr>
            </w:pPr>
          </w:p>
        </w:tc>
      </w:tr>
      <w:tr w14:paraId="3B23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96" w:type="dxa"/>
            <w:tcBorders>
              <w:left w:val="single" w:color="auto" w:sz="8" w:space="0"/>
            </w:tcBorders>
            <w:shd w:val="clear" w:color="auto" w:fill="auto"/>
            <w:vAlign w:val="center"/>
          </w:tcPr>
          <w:p w14:paraId="0DC27411">
            <w:pPr>
              <w:spacing w:line="240" w:lineRule="auto"/>
              <w:contextualSpacing/>
              <w:rPr>
                <w:rFonts w:ascii="宋体" w:hAnsi="宋体"/>
                <w:sz w:val="18"/>
                <w:szCs w:val="18"/>
              </w:rPr>
            </w:pPr>
            <w:r>
              <w:rPr>
                <w:rFonts w:hint="eastAsia" w:ascii="宋体" w:hAnsi="宋体"/>
                <w:sz w:val="18"/>
                <w:szCs w:val="18"/>
              </w:rPr>
              <w:t>菌种使用、停用日期</w:t>
            </w:r>
          </w:p>
        </w:tc>
        <w:tc>
          <w:tcPr>
            <w:tcW w:w="2196" w:type="dxa"/>
            <w:tcBorders>
              <w:right w:val="single" w:color="auto" w:sz="4" w:space="0"/>
            </w:tcBorders>
            <w:shd w:val="clear" w:color="auto" w:fill="auto"/>
            <w:vAlign w:val="center"/>
          </w:tcPr>
          <w:p w14:paraId="77EB61DA">
            <w:pPr>
              <w:spacing w:line="240" w:lineRule="auto"/>
              <w:contextualSpacing/>
              <w:rPr>
                <w:rFonts w:ascii="宋体" w:hAnsi="宋体"/>
                <w:sz w:val="18"/>
                <w:szCs w:val="18"/>
              </w:rPr>
            </w:pPr>
          </w:p>
        </w:tc>
        <w:tc>
          <w:tcPr>
            <w:tcW w:w="2198" w:type="dxa"/>
            <w:tcBorders>
              <w:left w:val="single" w:color="auto" w:sz="4" w:space="0"/>
            </w:tcBorders>
            <w:shd w:val="clear" w:color="auto" w:fill="auto"/>
            <w:vAlign w:val="center"/>
          </w:tcPr>
          <w:p w14:paraId="1C15D272">
            <w:pPr>
              <w:spacing w:line="240" w:lineRule="auto"/>
              <w:contextualSpacing/>
              <w:rPr>
                <w:rFonts w:ascii="宋体" w:hAnsi="宋体"/>
                <w:sz w:val="18"/>
                <w:szCs w:val="18"/>
              </w:rPr>
            </w:pPr>
            <w:r>
              <w:rPr>
                <w:rFonts w:hint="eastAsia" w:ascii="宋体" w:hAnsi="宋体"/>
                <w:sz w:val="18"/>
                <w:szCs w:val="18"/>
              </w:rPr>
              <w:t>生产场所（芝棚）名称</w:t>
            </w:r>
          </w:p>
        </w:tc>
        <w:tc>
          <w:tcPr>
            <w:tcW w:w="2198" w:type="dxa"/>
            <w:tcBorders>
              <w:right w:val="single" w:color="000000" w:themeColor="text1" w:sz="8" w:space="0"/>
            </w:tcBorders>
            <w:shd w:val="clear" w:color="auto" w:fill="auto"/>
            <w:vAlign w:val="center"/>
          </w:tcPr>
          <w:p w14:paraId="0C3728C6">
            <w:pPr>
              <w:spacing w:line="240" w:lineRule="auto"/>
              <w:contextualSpacing/>
              <w:rPr>
                <w:rFonts w:ascii="宋体" w:hAnsi="宋体"/>
                <w:sz w:val="18"/>
                <w:szCs w:val="18"/>
              </w:rPr>
            </w:pPr>
          </w:p>
        </w:tc>
      </w:tr>
      <w:tr w14:paraId="00AC4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96" w:type="dxa"/>
            <w:tcBorders>
              <w:left w:val="single" w:color="auto" w:sz="8" w:space="0"/>
            </w:tcBorders>
            <w:shd w:val="clear" w:color="auto" w:fill="auto"/>
            <w:vAlign w:val="center"/>
          </w:tcPr>
          <w:p w14:paraId="6A717DF6">
            <w:pPr>
              <w:spacing w:line="240" w:lineRule="auto"/>
              <w:contextualSpacing/>
              <w:rPr>
                <w:rFonts w:ascii="宋体" w:hAnsi="宋体"/>
                <w:sz w:val="18"/>
                <w:szCs w:val="18"/>
              </w:rPr>
            </w:pPr>
            <w:r>
              <w:rPr>
                <w:rFonts w:hint="eastAsia" w:ascii="宋体" w:hAnsi="宋体"/>
                <w:sz w:val="18"/>
                <w:szCs w:val="18"/>
              </w:rPr>
              <w:t>原料名称</w:t>
            </w:r>
          </w:p>
        </w:tc>
        <w:tc>
          <w:tcPr>
            <w:tcW w:w="2196" w:type="dxa"/>
            <w:tcBorders>
              <w:right w:val="single" w:color="auto" w:sz="4" w:space="0"/>
            </w:tcBorders>
            <w:shd w:val="clear" w:color="auto" w:fill="auto"/>
            <w:vAlign w:val="center"/>
          </w:tcPr>
          <w:p w14:paraId="1EFA3543">
            <w:pPr>
              <w:spacing w:line="240" w:lineRule="auto"/>
              <w:contextualSpacing/>
              <w:rPr>
                <w:rFonts w:ascii="宋体" w:hAnsi="宋体"/>
                <w:sz w:val="18"/>
                <w:szCs w:val="18"/>
              </w:rPr>
            </w:pPr>
          </w:p>
        </w:tc>
        <w:tc>
          <w:tcPr>
            <w:tcW w:w="2198" w:type="dxa"/>
            <w:tcBorders>
              <w:left w:val="single" w:color="auto" w:sz="4" w:space="0"/>
            </w:tcBorders>
            <w:shd w:val="clear" w:color="auto" w:fill="auto"/>
            <w:vAlign w:val="center"/>
          </w:tcPr>
          <w:p w14:paraId="7FDA1E95">
            <w:pPr>
              <w:spacing w:line="240" w:lineRule="auto"/>
              <w:contextualSpacing/>
              <w:rPr>
                <w:rFonts w:ascii="宋体" w:hAnsi="宋体"/>
                <w:sz w:val="18"/>
                <w:szCs w:val="18"/>
              </w:rPr>
            </w:pPr>
            <w:r>
              <w:rPr>
                <w:rFonts w:hint="eastAsia" w:ascii="宋体" w:hAnsi="宋体"/>
                <w:sz w:val="18"/>
                <w:szCs w:val="18"/>
              </w:rPr>
              <w:t>生产数量</w:t>
            </w:r>
          </w:p>
        </w:tc>
        <w:tc>
          <w:tcPr>
            <w:tcW w:w="2198" w:type="dxa"/>
            <w:tcBorders>
              <w:right w:val="single" w:color="000000" w:themeColor="text1" w:sz="8" w:space="0"/>
            </w:tcBorders>
            <w:shd w:val="clear" w:color="auto" w:fill="auto"/>
            <w:vAlign w:val="center"/>
          </w:tcPr>
          <w:p w14:paraId="6DD432C3">
            <w:pPr>
              <w:spacing w:line="240" w:lineRule="auto"/>
              <w:contextualSpacing/>
              <w:rPr>
                <w:rFonts w:ascii="宋体" w:hAnsi="宋体"/>
                <w:sz w:val="18"/>
                <w:szCs w:val="18"/>
              </w:rPr>
            </w:pPr>
          </w:p>
        </w:tc>
      </w:tr>
      <w:tr w14:paraId="3DB4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96" w:type="dxa"/>
            <w:tcBorders>
              <w:left w:val="single" w:color="auto" w:sz="8" w:space="0"/>
            </w:tcBorders>
            <w:shd w:val="clear" w:color="auto" w:fill="auto"/>
            <w:vAlign w:val="center"/>
          </w:tcPr>
          <w:p w14:paraId="6D301378">
            <w:pPr>
              <w:spacing w:line="240" w:lineRule="auto"/>
              <w:contextualSpacing/>
              <w:rPr>
                <w:rFonts w:ascii="宋体" w:hAnsi="宋体"/>
                <w:sz w:val="18"/>
                <w:szCs w:val="18"/>
              </w:rPr>
            </w:pPr>
            <w:r>
              <w:rPr>
                <w:rFonts w:hint="eastAsia" w:ascii="宋体" w:hAnsi="宋体"/>
                <w:sz w:val="18"/>
                <w:szCs w:val="18"/>
              </w:rPr>
              <w:t>原料用法、用量</w:t>
            </w:r>
          </w:p>
        </w:tc>
        <w:tc>
          <w:tcPr>
            <w:tcW w:w="2196" w:type="dxa"/>
            <w:tcBorders>
              <w:bottom w:val="single" w:color="auto" w:sz="4" w:space="0"/>
              <w:right w:val="single" w:color="auto" w:sz="4" w:space="0"/>
            </w:tcBorders>
            <w:shd w:val="clear" w:color="auto" w:fill="auto"/>
            <w:vAlign w:val="center"/>
          </w:tcPr>
          <w:p w14:paraId="6867D66F">
            <w:pPr>
              <w:spacing w:line="240" w:lineRule="auto"/>
              <w:contextualSpacing/>
              <w:rPr>
                <w:rFonts w:ascii="宋体" w:hAnsi="宋体"/>
                <w:sz w:val="18"/>
                <w:szCs w:val="18"/>
              </w:rPr>
            </w:pPr>
          </w:p>
        </w:tc>
        <w:tc>
          <w:tcPr>
            <w:tcW w:w="2198" w:type="dxa"/>
            <w:tcBorders>
              <w:left w:val="single" w:color="auto" w:sz="4" w:space="0"/>
              <w:bottom w:val="single" w:color="auto" w:sz="4" w:space="0"/>
            </w:tcBorders>
            <w:shd w:val="clear" w:color="auto" w:fill="auto"/>
            <w:vAlign w:val="center"/>
          </w:tcPr>
          <w:p w14:paraId="729A3EA8">
            <w:pPr>
              <w:spacing w:line="240" w:lineRule="auto"/>
              <w:contextualSpacing/>
              <w:rPr>
                <w:rFonts w:ascii="宋体" w:hAnsi="宋体"/>
                <w:sz w:val="18"/>
                <w:szCs w:val="18"/>
              </w:rPr>
            </w:pPr>
            <w:r>
              <w:rPr>
                <w:rFonts w:hint="eastAsia" w:ascii="宋体" w:hAnsi="宋体"/>
                <w:sz w:val="18"/>
                <w:szCs w:val="18"/>
              </w:rPr>
              <w:t>记录人</w:t>
            </w:r>
          </w:p>
        </w:tc>
        <w:tc>
          <w:tcPr>
            <w:tcW w:w="2198" w:type="dxa"/>
            <w:tcBorders>
              <w:right w:val="single" w:color="000000" w:themeColor="text1" w:sz="8" w:space="0"/>
            </w:tcBorders>
            <w:shd w:val="clear" w:color="auto" w:fill="auto"/>
            <w:vAlign w:val="center"/>
          </w:tcPr>
          <w:p w14:paraId="2262A72C">
            <w:pPr>
              <w:spacing w:line="240" w:lineRule="auto"/>
              <w:contextualSpacing/>
              <w:rPr>
                <w:rFonts w:ascii="宋体" w:hAnsi="宋体"/>
                <w:sz w:val="18"/>
                <w:szCs w:val="18"/>
              </w:rPr>
            </w:pPr>
          </w:p>
        </w:tc>
      </w:tr>
      <w:tr w14:paraId="5002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96" w:type="dxa"/>
            <w:tcBorders>
              <w:left w:val="single" w:color="auto" w:sz="8" w:space="0"/>
              <w:bottom w:val="single" w:color="000000" w:themeColor="text1" w:sz="8" w:space="0"/>
            </w:tcBorders>
            <w:shd w:val="clear" w:color="auto" w:fill="auto"/>
            <w:vAlign w:val="center"/>
          </w:tcPr>
          <w:p w14:paraId="3F27BA54">
            <w:pPr>
              <w:spacing w:line="240" w:lineRule="auto"/>
              <w:contextualSpacing/>
              <w:rPr>
                <w:rFonts w:ascii="宋体" w:hAnsi="宋体"/>
                <w:sz w:val="18"/>
                <w:szCs w:val="18"/>
              </w:rPr>
            </w:pPr>
            <w:r>
              <w:rPr>
                <w:rFonts w:hint="eastAsia" w:ascii="宋体" w:hAnsi="宋体"/>
                <w:sz w:val="18"/>
                <w:szCs w:val="18"/>
              </w:rPr>
              <w:t>培养基灭菌情况</w:t>
            </w:r>
          </w:p>
        </w:tc>
        <w:tc>
          <w:tcPr>
            <w:tcW w:w="2196" w:type="dxa"/>
            <w:tcBorders>
              <w:bottom w:val="single" w:color="auto" w:sz="8" w:space="0"/>
              <w:right w:val="single" w:color="auto" w:sz="4" w:space="0"/>
            </w:tcBorders>
            <w:shd w:val="clear" w:color="auto" w:fill="auto"/>
            <w:vAlign w:val="center"/>
          </w:tcPr>
          <w:p w14:paraId="7223FEE8">
            <w:pPr>
              <w:spacing w:line="240" w:lineRule="auto"/>
              <w:contextualSpacing/>
              <w:rPr>
                <w:rFonts w:ascii="宋体" w:hAnsi="宋体"/>
                <w:sz w:val="18"/>
                <w:szCs w:val="18"/>
              </w:rPr>
            </w:pPr>
          </w:p>
        </w:tc>
        <w:tc>
          <w:tcPr>
            <w:tcW w:w="2198" w:type="dxa"/>
            <w:tcBorders>
              <w:left w:val="single" w:color="auto" w:sz="4" w:space="0"/>
              <w:bottom w:val="single" w:color="auto" w:sz="8" w:space="0"/>
            </w:tcBorders>
            <w:shd w:val="clear" w:color="auto" w:fill="auto"/>
            <w:vAlign w:val="center"/>
          </w:tcPr>
          <w:p w14:paraId="69F6F4AD">
            <w:pPr>
              <w:spacing w:line="240" w:lineRule="auto"/>
              <w:contextualSpacing/>
              <w:rPr>
                <w:rFonts w:ascii="宋体" w:hAnsi="宋体"/>
                <w:sz w:val="18"/>
                <w:szCs w:val="18"/>
              </w:rPr>
            </w:pPr>
            <w:r>
              <w:rPr>
                <w:rFonts w:hint="eastAsia" w:ascii="宋体" w:hAnsi="宋体"/>
                <w:sz w:val="18"/>
                <w:szCs w:val="18"/>
              </w:rPr>
              <w:t>入档日期</w:t>
            </w:r>
          </w:p>
        </w:tc>
        <w:tc>
          <w:tcPr>
            <w:tcW w:w="2198" w:type="dxa"/>
            <w:tcBorders>
              <w:bottom w:val="single" w:color="000000" w:themeColor="text1" w:sz="8" w:space="0"/>
              <w:right w:val="single" w:color="000000" w:themeColor="text1" w:sz="8" w:space="0"/>
            </w:tcBorders>
            <w:shd w:val="clear" w:color="auto" w:fill="auto"/>
            <w:vAlign w:val="center"/>
          </w:tcPr>
          <w:p w14:paraId="42158E5A">
            <w:pPr>
              <w:spacing w:line="240" w:lineRule="auto"/>
              <w:contextualSpacing/>
              <w:rPr>
                <w:rFonts w:ascii="宋体" w:hAnsi="宋体"/>
                <w:sz w:val="18"/>
                <w:szCs w:val="18"/>
              </w:rPr>
            </w:pPr>
          </w:p>
        </w:tc>
      </w:tr>
    </w:tbl>
    <w:p w14:paraId="1CA62505">
      <w:pPr>
        <w:pStyle w:val="57"/>
        <w:ind w:firstLine="0" w:firstLineChars="0"/>
        <w:jc w:val="center"/>
      </w:pPr>
      <w: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1"/>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96610">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4071B">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C3BCA">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767EB">
    <w:pPr>
      <w:pStyle w:val="53"/>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4A49D">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39800">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CB645">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DED0A">
    <w:pPr>
      <w:pStyle w:val="62"/>
    </w:pPr>
    <w:r>
      <w:fldChar w:fldCharType="begin"/>
    </w:r>
    <w:r>
      <w:instrText xml:space="preserve"> STYLEREF  标准文件_文件编号  \* MERGEFORMAT </w:instrText>
    </w:r>
    <w:r>
      <w:fldChar w:fldCharType="separate"/>
    </w:r>
    <w:r>
      <w:t>DB37/T 4892—2025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C2F79">
    <w:pPr>
      <w:pStyle w:val="19"/>
      <w:jc w:val="right"/>
      <w:rPr>
        <w:lang w:val="fr-FR"/>
      </w:rPr>
    </w:pPr>
    <w:r>
      <w:fldChar w:fldCharType="begin"/>
    </w:r>
    <w:r>
      <w:instrText xml:space="preserve"> STYLEREF  标准文件_文件编号  \* MERGEFORMAT </w:instrText>
    </w:r>
    <w:r>
      <w:fldChar w:fldCharType="separate"/>
    </w:r>
    <w:r>
      <w:t>DB37/T 4892—2025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142"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567"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dit="forms" w:enforcement="1" w:cryptProviderType="rsaAES" w:cryptAlgorithmClass="hash" w:cryptAlgorithmType="typeAny" w:cryptAlgorithmSid="14" w:cryptSpinCount="100000" w:hash="P+mTOl7+VxLDHgZx6cO5ft7mO5Qa3rN6mugzVSpJ+fgBXeOykxTYSxmw4QUe46uV4deV/E5ghW5ni0BsUiJkLA==" w:salt="tcuozWVkjIrGxXANfhNy4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4NjZmNGNkOGMzMmViZjhkNWM0ODdhNDRhNTc1YTUifQ=="/>
  </w:docVars>
  <w:rsids>
    <w:rsidRoot w:val="00AF1284"/>
    <w:rsid w:val="0000040A"/>
    <w:rsid w:val="00000A94"/>
    <w:rsid w:val="00001972"/>
    <w:rsid w:val="00001D9A"/>
    <w:rsid w:val="00007B3A"/>
    <w:rsid w:val="000107E0"/>
    <w:rsid w:val="00011FDE"/>
    <w:rsid w:val="00012FFD"/>
    <w:rsid w:val="00014162"/>
    <w:rsid w:val="00014340"/>
    <w:rsid w:val="00016A9C"/>
    <w:rsid w:val="0002188A"/>
    <w:rsid w:val="00022184"/>
    <w:rsid w:val="00022762"/>
    <w:rsid w:val="000238E0"/>
    <w:rsid w:val="000249DB"/>
    <w:rsid w:val="00025309"/>
    <w:rsid w:val="0002595E"/>
    <w:rsid w:val="000303C3"/>
    <w:rsid w:val="000331D3"/>
    <w:rsid w:val="000346A5"/>
    <w:rsid w:val="000359C3"/>
    <w:rsid w:val="00035A7D"/>
    <w:rsid w:val="000365ED"/>
    <w:rsid w:val="0004249A"/>
    <w:rsid w:val="00043282"/>
    <w:rsid w:val="00044286"/>
    <w:rsid w:val="00047C00"/>
    <w:rsid w:val="00047F28"/>
    <w:rsid w:val="000503AA"/>
    <w:rsid w:val="000506A1"/>
    <w:rsid w:val="000515DD"/>
    <w:rsid w:val="0005265A"/>
    <w:rsid w:val="000534C3"/>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5A0"/>
    <w:rsid w:val="000A0B60"/>
    <w:rsid w:val="000A0EB8"/>
    <w:rsid w:val="000A19FC"/>
    <w:rsid w:val="000A296B"/>
    <w:rsid w:val="000A50B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07C"/>
    <w:rsid w:val="000D0A9C"/>
    <w:rsid w:val="000D1795"/>
    <w:rsid w:val="000D1DB3"/>
    <w:rsid w:val="000D329A"/>
    <w:rsid w:val="000D4B9C"/>
    <w:rsid w:val="000D4EB6"/>
    <w:rsid w:val="000D753B"/>
    <w:rsid w:val="000E4C9E"/>
    <w:rsid w:val="000E6FD7"/>
    <w:rsid w:val="000F06E1"/>
    <w:rsid w:val="000F0E3C"/>
    <w:rsid w:val="000F19D5"/>
    <w:rsid w:val="000F4AEA"/>
    <w:rsid w:val="000F633F"/>
    <w:rsid w:val="000F67E9"/>
    <w:rsid w:val="00104926"/>
    <w:rsid w:val="001073A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0BF"/>
    <w:rsid w:val="0017340B"/>
    <w:rsid w:val="00173FB1"/>
    <w:rsid w:val="001754B9"/>
    <w:rsid w:val="00176DFD"/>
    <w:rsid w:val="00184126"/>
    <w:rsid w:val="001852C9"/>
    <w:rsid w:val="0018561B"/>
    <w:rsid w:val="00185C57"/>
    <w:rsid w:val="00190087"/>
    <w:rsid w:val="001910F9"/>
    <w:rsid w:val="001913C4"/>
    <w:rsid w:val="0019348F"/>
    <w:rsid w:val="00193A07"/>
    <w:rsid w:val="00194C95"/>
    <w:rsid w:val="00195C34"/>
    <w:rsid w:val="00196EF5"/>
    <w:rsid w:val="001A1A53"/>
    <w:rsid w:val="001A234A"/>
    <w:rsid w:val="001A4CF3"/>
    <w:rsid w:val="001A5842"/>
    <w:rsid w:val="001B06E8"/>
    <w:rsid w:val="001B71D0"/>
    <w:rsid w:val="001B71EE"/>
    <w:rsid w:val="001C04A8"/>
    <w:rsid w:val="001C2C03"/>
    <w:rsid w:val="001C33DC"/>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C5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A3C"/>
    <w:rsid w:val="00233D64"/>
    <w:rsid w:val="002347FF"/>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5BC"/>
    <w:rsid w:val="00272B08"/>
    <w:rsid w:val="0027571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EE7"/>
    <w:rsid w:val="002B4508"/>
    <w:rsid w:val="002B5779"/>
    <w:rsid w:val="002B7332"/>
    <w:rsid w:val="002B7F51"/>
    <w:rsid w:val="002C09E7"/>
    <w:rsid w:val="002C1E06"/>
    <w:rsid w:val="002C1E1C"/>
    <w:rsid w:val="002C2C24"/>
    <w:rsid w:val="002C3A2E"/>
    <w:rsid w:val="002C3F07"/>
    <w:rsid w:val="002C5278"/>
    <w:rsid w:val="002C7EBB"/>
    <w:rsid w:val="002D06C1"/>
    <w:rsid w:val="002D206D"/>
    <w:rsid w:val="002D42B5"/>
    <w:rsid w:val="002D4F1A"/>
    <w:rsid w:val="002D5743"/>
    <w:rsid w:val="002D6422"/>
    <w:rsid w:val="002D6EC6"/>
    <w:rsid w:val="002D79AC"/>
    <w:rsid w:val="002E039D"/>
    <w:rsid w:val="002E4D5A"/>
    <w:rsid w:val="002E6326"/>
    <w:rsid w:val="002F1595"/>
    <w:rsid w:val="002F30E0"/>
    <w:rsid w:val="002F35E4"/>
    <w:rsid w:val="002F3730"/>
    <w:rsid w:val="002F38E1"/>
    <w:rsid w:val="002F49EC"/>
    <w:rsid w:val="002F7AF6"/>
    <w:rsid w:val="00300E63"/>
    <w:rsid w:val="003014F2"/>
    <w:rsid w:val="00301687"/>
    <w:rsid w:val="00302F5F"/>
    <w:rsid w:val="0030441D"/>
    <w:rsid w:val="00306063"/>
    <w:rsid w:val="00313B85"/>
    <w:rsid w:val="00317988"/>
    <w:rsid w:val="003221B4"/>
    <w:rsid w:val="0032258D"/>
    <w:rsid w:val="00322E62"/>
    <w:rsid w:val="00324D13"/>
    <w:rsid w:val="00324D2A"/>
    <w:rsid w:val="00324EDD"/>
    <w:rsid w:val="003273FC"/>
    <w:rsid w:val="003331E4"/>
    <w:rsid w:val="00336C64"/>
    <w:rsid w:val="00337162"/>
    <w:rsid w:val="003404AD"/>
    <w:rsid w:val="00340B75"/>
    <w:rsid w:val="0034194F"/>
    <w:rsid w:val="00344605"/>
    <w:rsid w:val="003474AA"/>
    <w:rsid w:val="00350D1D"/>
    <w:rsid w:val="00352C83"/>
    <w:rsid w:val="00354E55"/>
    <w:rsid w:val="003615D2"/>
    <w:rsid w:val="0036429C"/>
    <w:rsid w:val="00364A53"/>
    <w:rsid w:val="003654CB"/>
    <w:rsid w:val="00365AA9"/>
    <w:rsid w:val="00365F86"/>
    <w:rsid w:val="00365F87"/>
    <w:rsid w:val="00366289"/>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D0E"/>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1900"/>
    <w:rsid w:val="003D262C"/>
    <w:rsid w:val="003D6D61"/>
    <w:rsid w:val="003E091D"/>
    <w:rsid w:val="003E1C53"/>
    <w:rsid w:val="003E2A69"/>
    <w:rsid w:val="003E2D49"/>
    <w:rsid w:val="003E2FD4"/>
    <w:rsid w:val="003E49F6"/>
    <w:rsid w:val="003E660F"/>
    <w:rsid w:val="003F02DA"/>
    <w:rsid w:val="003F0841"/>
    <w:rsid w:val="003F0EA2"/>
    <w:rsid w:val="003F23D3"/>
    <w:rsid w:val="003F3F08"/>
    <w:rsid w:val="003F49F1"/>
    <w:rsid w:val="003F5BAF"/>
    <w:rsid w:val="003F6272"/>
    <w:rsid w:val="00400E72"/>
    <w:rsid w:val="00401400"/>
    <w:rsid w:val="00404869"/>
    <w:rsid w:val="00405884"/>
    <w:rsid w:val="00407D39"/>
    <w:rsid w:val="004127E0"/>
    <w:rsid w:val="0041477A"/>
    <w:rsid w:val="00415D1E"/>
    <w:rsid w:val="004167A3"/>
    <w:rsid w:val="00432DAA"/>
    <w:rsid w:val="00434305"/>
    <w:rsid w:val="00435DF7"/>
    <w:rsid w:val="0044083F"/>
    <w:rsid w:val="00441AE7"/>
    <w:rsid w:val="00445574"/>
    <w:rsid w:val="00445B45"/>
    <w:rsid w:val="004467FB"/>
    <w:rsid w:val="004470F4"/>
    <w:rsid w:val="0045151F"/>
    <w:rsid w:val="00452D6B"/>
    <w:rsid w:val="00454484"/>
    <w:rsid w:val="0045492C"/>
    <w:rsid w:val="0045517B"/>
    <w:rsid w:val="004551FB"/>
    <w:rsid w:val="00461D0F"/>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D9B"/>
    <w:rsid w:val="004A12DF"/>
    <w:rsid w:val="004A17E6"/>
    <w:rsid w:val="004A1BA8"/>
    <w:rsid w:val="004A4B57"/>
    <w:rsid w:val="004A5AE0"/>
    <w:rsid w:val="004A63FA"/>
    <w:rsid w:val="004B0272"/>
    <w:rsid w:val="004B2701"/>
    <w:rsid w:val="004B2E1B"/>
    <w:rsid w:val="004B3AA8"/>
    <w:rsid w:val="004B3E93"/>
    <w:rsid w:val="004B7949"/>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711"/>
    <w:rsid w:val="0050363E"/>
    <w:rsid w:val="005039BC"/>
    <w:rsid w:val="005043BB"/>
    <w:rsid w:val="00504A3D"/>
    <w:rsid w:val="00505767"/>
    <w:rsid w:val="005073F0"/>
    <w:rsid w:val="00510A7B"/>
    <w:rsid w:val="00512F6E"/>
    <w:rsid w:val="00513038"/>
    <w:rsid w:val="00514174"/>
    <w:rsid w:val="0051550F"/>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056"/>
    <w:rsid w:val="00551F6F"/>
    <w:rsid w:val="00555044"/>
    <w:rsid w:val="00561475"/>
    <w:rsid w:val="0056487B"/>
    <w:rsid w:val="00564FB9"/>
    <w:rsid w:val="00573D9E"/>
    <w:rsid w:val="005801E3"/>
    <w:rsid w:val="00581802"/>
    <w:rsid w:val="00583677"/>
    <w:rsid w:val="005836A8"/>
    <w:rsid w:val="0058409C"/>
    <w:rsid w:val="00584262"/>
    <w:rsid w:val="00586630"/>
    <w:rsid w:val="00587ADD"/>
    <w:rsid w:val="00591E27"/>
    <w:rsid w:val="0059359B"/>
    <w:rsid w:val="00596160"/>
    <w:rsid w:val="005966E2"/>
    <w:rsid w:val="00597007"/>
    <w:rsid w:val="005A0966"/>
    <w:rsid w:val="005A11B7"/>
    <w:rsid w:val="005A260B"/>
    <w:rsid w:val="005A4A1B"/>
    <w:rsid w:val="005A4ECD"/>
    <w:rsid w:val="005A7830"/>
    <w:rsid w:val="005A7FCE"/>
    <w:rsid w:val="005B0F3F"/>
    <w:rsid w:val="005B4903"/>
    <w:rsid w:val="005B51CE"/>
    <w:rsid w:val="005B5885"/>
    <w:rsid w:val="005B5CD7"/>
    <w:rsid w:val="005B66D9"/>
    <w:rsid w:val="005B6CF6"/>
    <w:rsid w:val="005B7422"/>
    <w:rsid w:val="005C29B8"/>
    <w:rsid w:val="005C565B"/>
    <w:rsid w:val="005C5F21"/>
    <w:rsid w:val="005C7156"/>
    <w:rsid w:val="005D0C75"/>
    <w:rsid w:val="005D4171"/>
    <w:rsid w:val="005D6A95"/>
    <w:rsid w:val="005D6B2C"/>
    <w:rsid w:val="005D6D9C"/>
    <w:rsid w:val="005E2335"/>
    <w:rsid w:val="005E34CA"/>
    <w:rsid w:val="005E3C18"/>
    <w:rsid w:val="005E6812"/>
    <w:rsid w:val="005E7881"/>
    <w:rsid w:val="005E78E0"/>
    <w:rsid w:val="005F05B3"/>
    <w:rsid w:val="005F0D9C"/>
    <w:rsid w:val="005F284E"/>
    <w:rsid w:val="005F4712"/>
    <w:rsid w:val="005F55DD"/>
    <w:rsid w:val="006015CE"/>
    <w:rsid w:val="006029D8"/>
    <w:rsid w:val="00604784"/>
    <w:rsid w:val="00606419"/>
    <w:rsid w:val="00607D29"/>
    <w:rsid w:val="00612952"/>
    <w:rsid w:val="00614CC1"/>
    <w:rsid w:val="00615A9D"/>
    <w:rsid w:val="00617387"/>
    <w:rsid w:val="006179E8"/>
    <w:rsid w:val="006205D6"/>
    <w:rsid w:val="00621447"/>
    <w:rsid w:val="00623C40"/>
    <w:rsid w:val="0062528E"/>
    <w:rsid w:val="006252D8"/>
    <w:rsid w:val="006259BC"/>
    <w:rsid w:val="0062636B"/>
    <w:rsid w:val="00632182"/>
    <w:rsid w:val="00632AE0"/>
    <w:rsid w:val="00633C17"/>
    <w:rsid w:val="00634D9E"/>
    <w:rsid w:val="00636E3E"/>
    <w:rsid w:val="006379F7"/>
    <w:rsid w:val="00637E4D"/>
    <w:rsid w:val="00640620"/>
    <w:rsid w:val="00641A1F"/>
    <w:rsid w:val="00645904"/>
    <w:rsid w:val="00650A47"/>
    <w:rsid w:val="00651ACB"/>
    <w:rsid w:val="00651C47"/>
    <w:rsid w:val="00652AB2"/>
    <w:rsid w:val="0065327F"/>
    <w:rsid w:val="00653FED"/>
    <w:rsid w:val="00654EC0"/>
    <w:rsid w:val="0065525B"/>
    <w:rsid w:val="00655D4F"/>
    <w:rsid w:val="00656C0F"/>
    <w:rsid w:val="00656D29"/>
    <w:rsid w:val="006640E5"/>
    <w:rsid w:val="006646F1"/>
    <w:rsid w:val="00664929"/>
    <w:rsid w:val="00664F62"/>
    <w:rsid w:val="006655E1"/>
    <w:rsid w:val="00672060"/>
    <w:rsid w:val="00672BFD"/>
    <w:rsid w:val="006770F4"/>
    <w:rsid w:val="0067710E"/>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3F4A"/>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551"/>
    <w:rsid w:val="006D6593"/>
    <w:rsid w:val="006D6CC6"/>
    <w:rsid w:val="006E23EA"/>
    <w:rsid w:val="006F03A8"/>
    <w:rsid w:val="006F1C26"/>
    <w:rsid w:val="006F2ACA"/>
    <w:rsid w:val="006F2ADC"/>
    <w:rsid w:val="006F2BFE"/>
    <w:rsid w:val="006F31E9"/>
    <w:rsid w:val="006F6284"/>
    <w:rsid w:val="007002C5"/>
    <w:rsid w:val="00704387"/>
    <w:rsid w:val="00707669"/>
    <w:rsid w:val="00711CBA"/>
    <w:rsid w:val="00711FB5"/>
    <w:rsid w:val="00712A01"/>
    <w:rsid w:val="00714944"/>
    <w:rsid w:val="00714F58"/>
    <w:rsid w:val="00722FBF"/>
    <w:rsid w:val="00722FC2"/>
    <w:rsid w:val="00724879"/>
    <w:rsid w:val="00724E1B"/>
    <w:rsid w:val="00725949"/>
    <w:rsid w:val="00726A79"/>
    <w:rsid w:val="00727FA2"/>
    <w:rsid w:val="007322D9"/>
    <w:rsid w:val="00732BC0"/>
    <w:rsid w:val="0073439F"/>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7E0"/>
    <w:rsid w:val="00773C1F"/>
    <w:rsid w:val="00774DA4"/>
    <w:rsid w:val="00776599"/>
    <w:rsid w:val="0078114B"/>
    <w:rsid w:val="00781DD2"/>
    <w:rsid w:val="00783ECF"/>
    <w:rsid w:val="0078413A"/>
    <w:rsid w:val="00785025"/>
    <w:rsid w:val="00792572"/>
    <w:rsid w:val="007959E8"/>
    <w:rsid w:val="00795E9C"/>
    <w:rsid w:val="007A0521"/>
    <w:rsid w:val="007A23E3"/>
    <w:rsid w:val="007A2E12"/>
    <w:rsid w:val="007A3475"/>
    <w:rsid w:val="007A41C8"/>
    <w:rsid w:val="007A54CE"/>
    <w:rsid w:val="007A6FD9"/>
    <w:rsid w:val="007A7FFA"/>
    <w:rsid w:val="007B0034"/>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285"/>
    <w:rsid w:val="007D6518"/>
    <w:rsid w:val="007D76BD"/>
    <w:rsid w:val="007E0BF1"/>
    <w:rsid w:val="007F050F"/>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BB1"/>
    <w:rsid w:val="00823303"/>
    <w:rsid w:val="008233B2"/>
    <w:rsid w:val="00823A9F"/>
    <w:rsid w:val="00823C85"/>
    <w:rsid w:val="00825138"/>
    <w:rsid w:val="00825CB7"/>
    <w:rsid w:val="008269DD"/>
    <w:rsid w:val="00830621"/>
    <w:rsid w:val="00830B9C"/>
    <w:rsid w:val="00830F22"/>
    <w:rsid w:val="0083348C"/>
    <w:rsid w:val="008373D3"/>
    <w:rsid w:val="00840617"/>
    <w:rsid w:val="00840F84"/>
    <w:rsid w:val="00842519"/>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391C"/>
    <w:rsid w:val="008747F9"/>
    <w:rsid w:val="00883F93"/>
    <w:rsid w:val="00884DB3"/>
    <w:rsid w:val="00885A9D"/>
    <w:rsid w:val="008864F6"/>
    <w:rsid w:val="00886C19"/>
    <w:rsid w:val="0089049D"/>
    <w:rsid w:val="008928C9"/>
    <w:rsid w:val="008930CB"/>
    <w:rsid w:val="008938DC"/>
    <w:rsid w:val="00893FD1"/>
    <w:rsid w:val="0089463C"/>
    <w:rsid w:val="00894836"/>
    <w:rsid w:val="00895172"/>
    <w:rsid w:val="00895680"/>
    <w:rsid w:val="00896DFF"/>
    <w:rsid w:val="0089762C"/>
    <w:rsid w:val="008A1893"/>
    <w:rsid w:val="008A3215"/>
    <w:rsid w:val="008A43A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2D46"/>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6A3F"/>
    <w:rsid w:val="00911BE5"/>
    <w:rsid w:val="0091285D"/>
    <w:rsid w:val="00913185"/>
    <w:rsid w:val="00913CA9"/>
    <w:rsid w:val="009141FD"/>
    <w:rsid w:val="009145AE"/>
    <w:rsid w:val="009146CE"/>
    <w:rsid w:val="00914CA7"/>
    <w:rsid w:val="00915C3E"/>
    <w:rsid w:val="009161A8"/>
    <w:rsid w:val="009225E7"/>
    <w:rsid w:val="009245F5"/>
    <w:rsid w:val="009249EC"/>
    <w:rsid w:val="009273B3"/>
    <w:rsid w:val="009305B5"/>
    <w:rsid w:val="0093208B"/>
    <w:rsid w:val="009429D5"/>
    <w:rsid w:val="00942BF1"/>
    <w:rsid w:val="00945180"/>
    <w:rsid w:val="00945428"/>
    <w:rsid w:val="0094607B"/>
    <w:rsid w:val="00953604"/>
    <w:rsid w:val="0095496B"/>
    <w:rsid w:val="00954E5E"/>
    <w:rsid w:val="009610DC"/>
    <w:rsid w:val="00961490"/>
    <w:rsid w:val="0096381A"/>
    <w:rsid w:val="00965E04"/>
    <w:rsid w:val="009674AD"/>
    <w:rsid w:val="00970CDC"/>
    <w:rsid w:val="00977010"/>
    <w:rsid w:val="00977D02"/>
    <w:rsid w:val="009809BB"/>
    <w:rsid w:val="00980A0D"/>
    <w:rsid w:val="0098364B"/>
    <w:rsid w:val="009911AF"/>
    <w:rsid w:val="00991546"/>
    <w:rsid w:val="00991875"/>
    <w:rsid w:val="00991F92"/>
    <w:rsid w:val="00992985"/>
    <w:rsid w:val="00992C9C"/>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16C3"/>
    <w:rsid w:val="009D2852"/>
    <w:rsid w:val="009D47FA"/>
    <w:rsid w:val="009D4C5B"/>
    <w:rsid w:val="009D50D2"/>
    <w:rsid w:val="009D6BCA"/>
    <w:rsid w:val="009E0834"/>
    <w:rsid w:val="009E0F62"/>
    <w:rsid w:val="009E4A58"/>
    <w:rsid w:val="009E5A2D"/>
    <w:rsid w:val="009E5AB2"/>
    <w:rsid w:val="009E6219"/>
    <w:rsid w:val="009F03B3"/>
    <w:rsid w:val="00A0096C"/>
    <w:rsid w:val="00A0139A"/>
    <w:rsid w:val="00A01757"/>
    <w:rsid w:val="00A028C0"/>
    <w:rsid w:val="00A02BAE"/>
    <w:rsid w:val="00A06A6B"/>
    <w:rsid w:val="00A07E47"/>
    <w:rsid w:val="00A129D0"/>
    <w:rsid w:val="00A12C33"/>
    <w:rsid w:val="00A138BA"/>
    <w:rsid w:val="00A14C8E"/>
    <w:rsid w:val="00A153D9"/>
    <w:rsid w:val="00A15DE8"/>
    <w:rsid w:val="00A15F09"/>
    <w:rsid w:val="00A169B6"/>
    <w:rsid w:val="00A170A8"/>
    <w:rsid w:val="00A2193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B9F"/>
    <w:rsid w:val="00A55BD6"/>
    <w:rsid w:val="00A55D50"/>
    <w:rsid w:val="00A57142"/>
    <w:rsid w:val="00A648CD"/>
    <w:rsid w:val="00A6537A"/>
    <w:rsid w:val="00A67866"/>
    <w:rsid w:val="00A70B07"/>
    <w:rsid w:val="00A723F8"/>
    <w:rsid w:val="00A740E3"/>
    <w:rsid w:val="00A77CCB"/>
    <w:rsid w:val="00A83D8D"/>
    <w:rsid w:val="00A8446B"/>
    <w:rsid w:val="00A8473F"/>
    <w:rsid w:val="00A862D6"/>
    <w:rsid w:val="00A8715E"/>
    <w:rsid w:val="00A87896"/>
    <w:rsid w:val="00A91724"/>
    <w:rsid w:val="00A9295B"/>
    <w:rsid w:val="00A93B09"/>
    <w:rsid w:val="00A94247"/>
    <w:rsid w:val="00A94DAA"/>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29D5"/>
    <w:rsid w:val="00AC30F7"/>
    <w:rsid w:val="00AC3A5A"/>
    <w:rsid w:val="00AC4640"/>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1284"/>
    <w:rsid w:val="00AF47C5"/>
    <w:rsid w:val="00AF5398"/>
    <w:rsid w:val="00B049AF"/>
    <w:rsid w:val="00B07242"/>
    <w:rsid w:val="00B10534"/>
    <w:rsid w:val="00B113DB"/>
    <w:rsid w:val="00B11D8A"/>
    <w:rsid w:val="00B12981"/>
    <w:rsid w:val="00B147DD"/>
    <w:rsid w:val="00B1482F"/>
    <w:rsid w:val="00B156FD"/>
    <w:rsid w:val="00B21F61"/>
    <w:rsid w:val="00B261F1"/>
    <w:rsid w:val="00B265BC"/>
    <w:rsid w:val="00B31FB1"/>
    <w:rsid w:val="00B33952"/>
    <w:rsid w:val="00B33C5E"/>
    <w:rsid w:val="00B342F4"/>
    <w:rsid w:val="00B34369"/>
    <w:rsid w:val="00B34C23"/>
    <w:rsid w:val="00B34DC2"/>
    <w:rsid w:val="00B3579A"/>
    <w:rsid w:val="00B378E5"/>
    <w:rsid w:val="00B37B6F"/>
    <w:rsid w:val="00B4003D"/>
    <w:rsid w:val="00B4197B"/>
    <w:rsid w:val="00B4346D"/>
    <w:rsid w:val="00B43F79"/>
    <w:rsid w:val="00B440F4"/>
    <w:rsid w:val="00B447A5"/>
    <w:rsid w:val="00B4654C"/>
    <w:rsid w:val="00B47293"/>
    <w:rsid w:val="00B50E50"/>
    <w:rsid w:val="00B52120"/>
    <w:rsid w:val="00B543D7"/>
    <w:rsid w:val="00B54ABC"/>
    <w:rsid w:val="00B54DDE"/>
    <w:rsid w:val="00B56FBE"/>
    <w:rsid w:val="00B60ACF"/>
    <w:rsid w:val="00B62B58"/>
    <w:rsid w:val="00B65149"/>
    <w:rsid w:val="00B66567"/>
    <w:rsid w:val="00B66F52"/>
    <w:rsid w:val="00B66FE5"/>
    <w:rsid w:val="00B70CE9"/>
    <w:rsid w:val="00B72880"/>
    <w:rsid w:val="00B758BF"/>
    <w:rsid w:val="00B77EC8"/>
    <w:rsid w:val="00B827A6"/>
    <w:rsid w:val="00B831CE"/>
    <w:rsid w:val="00B8597D"/>
    <w:rsid w:val="00B86677"/>
    <w:rsid w:val="00B87131"/>
    <w:rsid w:val="00B91034"/>
    <w:rsid w:val="00B939B1"/>
    <w:rsid w:val="00B96D40"/>
    <w:rsid w:val="00B97386"/>
    <w:rsid w:val="00BA263B"/>
    <w:rsid w:val="00BA42B2"/>
    <w:rsid w:val="00BA58D4"/>
    <w:rsid w:val="00BA5B9E"/>
    <w:rsid w:val="00BA7C9A"/>
    <w:rsid w:val="00BB5F8F"/>
    <w:rsid w:val="00BB657A"/>
    <w:rsid w:val="00BB7DF3"/>
    <w:rsid w:val="00BC1A4E"/>
    <w:rsid w:val="00BC5DC7"/>
    <w:rsid w:val="00BC68D7"/>
    <w:rsid w:val="00BC6B8B"/>
    <w:rsid w:val="00BC73D8"/>
    <w:rsid w:val="00BD52D7"/>
    <w:rsid w:val="00BD5AD2"/>
    <w:rsid w:val="00BE22F3"/>
    <w:rsid w:val="00BE5B52"/>
    <w:rsid w:val="00BE7B8D"/>
    <w:rsid w:val="00BF0993"/>
    <w:rsid w:val="00BF10A9"/>
    <w:rsid w:val="00BF14AE"/>
    <w:rsid w:val="00BF1703"/>
    <w:rsid w:val="00BF231C"/>
    <w:rsid w:val="00BF51E5"/>
    <w:rsid w:val="00BF74A6"/>
    <w:rsid w:val="00C013AD"/>
    <w:rsid w:val="00C04904"/>
    <w:rsid w:val="00C056B3"/>
    <w:rsid w:val="00C07EB3"/>
    <w:rsid w:val="00C103E5"/>
    <w:rsid w:val="00C104D2"/>
    <w:rsid w:val="00C110D9"/>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2189"/>
    <w:rsid w:val="00C6329F"/>
    <w:rsid w:val="00C63340"/>
    <w:rsid w:val="00C643F9"/>
    <w:rsid w:val="00C64E95"/>
    <w:rsid w:val="00C70B8A"/>
    <w:rsid w:val="00C71372"/>
    <w:rsid w:val="00C72410"/>
    <w:rsid w:val="00C7287F"/>
    <w:rsid w:val="00C75D2A"/>
    <w:rsid w:val="00C80814"/>
    <w:rsid w:val="00C80CB8"/>
    <w:rsid w:val="00C819F8"/>
    <w:rsid w:val="00C8248C"/>
    <w:rsid w:val="00C84E33"/>
    <w:rsid w:val="00C85EA0"/>
    <w:rsid w:val="00C86D6F"/>
    <w:rsid w:val="00C905FC"/>
    <w:rsid w:val="00C92D03"/>
    <w:rsid w:val="00C9319C"/>
    <w:rsid w:val="00C9435D"/>
    <w:rsid w:val="00C94DF2"/>
    <w:rsid w:val="00C96741"/>
    <w:rsid w:val="00CA2D1B"/>
    <w:rsid w:val="00CA375D"/>
    <w:rsid w:val="00CA662A"/>
    <w:rsid w:val="00CA75BF"/>
    <w:rsid w:val="00CA7AFD"/>
    <w:rsid w:val="00CA7C3C"/>
    <w:rsid w:val="00CB0189"/>
    <w:rsid w:val="00CB0BA2"/>
    <w:rsid w:val="00CB1A42"/>
    <w:rsid w:val="00CB1B0C"/>
    <w:rsid w:val="00CB2C0B"/>
    <w:rsid w:val="00CB3330"/>
    <w:rsid w:val="00CB517D"/>
    <w:rsid w:val="00CC038D"/>
    <w:rsid w:val="00CC08DB"/>
    <w:rsid w:val="00CC1868"/>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84E"/>
    <w:rsid w:val="00D24458"/>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01C1"/>
    <w:rsid w:val="00D51BF3"/>
    <w:rsid w:val="00D5530C"/>
    <w:rsid w:val="00D55767"/>
    <w:rsid w:val="00D66846"/>
    <w:rsid w:val="00D675FB"/>
    <w:rsid w:val="00D71F25"/>
    <w:rsid w:val="00D72A9C"/>
    <w:rsid w:val="00D77031"/>
    <w:rsid w:val="00D84941"/>
    <w:rsid w:val="00D84FA1"/>
    <w:rsid w:val="00D851F0"/>
    <w:rsid w:val="00D86DB7"/>
    <w:rsid w:val="00D926D0"/>
    <w:rsid w:val="00D93030"/>
    <w:rsid w:val="00D950E1"/>
    <w:rsid w:val="00D952A6"/>
    <w:rsid w:val="00D95E0C"/>
    <w:rsid w:val="00D97389"/>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0E1"/>
    <w:rsid w:val="00DE2410"/>
    <w:rsid w:val="00DE2939"/>
    <w:rsid w:val="00DE6419"/>
    <w:rsid w:val="00DE642D"/>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3538"/>
    <w:rsid w:val="00E1500F"/>
    <w:rsid w:val="00E15798"/>
    <w:rsid w:val="00E15CCD"/>
    <w:rsid w:val="00E202EF"/>
    <w:rsid w:val="00E210B5"/>
    <w:rsid w:val="00E23D99"/>
    <w:rsid w:val="00E2552F"/>
    <w:rsid w:val="00E30DF5"/>
    <w:rsid w:val="00E3137A"/>
    <w:rsid w:val="00E32CCF"/>
    <w:rsid w:val="00E341D8"/>
    <w:rsid w:val="00E34A98"/>
    <w:rsid w:val="00E35D1E"/>
    <w:rsid w:val="00E364F9"/>
    <w:rsid w:val="00E365FA"/>
    <w:rsid w:val="00E36789"/>
    <w:rsid w:val="00E44A83"/>
    <w:rsid w:val="00E467BC"/>
    <w:rsid w:val="00E502C1"/>
    <w:rsid w:val="00E502DD"/>
    <w:rsid w:val="00E50D3A"/>
    <w:rsid w:val="00E51387"/>
    <w:rsid w:val="00E51E68"/>
    <w:rsid w:val="00E527AD"/>
    <w:rsid w:val="00E52EFD"/>
    <w:rsid w:val="00E5408A"/>
    <w:rsid w:val="00E56800"/>
    <w:rsid w:val="00E60C63"/>
    <w:rsid w:val="00E62FF9"/>
    <w:rsid w:val="00E635D6"/>
    <w:rsid w:val="00E639BC"/>
    <w:rsid w:val="00E664CC"/>
    <w:rsid w:val="00E70388"/>
    <w:rsid w:val="00E70F92"/>
    <w:rsid w:val="00E739D9"/>
    <w:rsid w:val="00E74C54"/>
    <w:rsid w:val="00E77A03"/>
    <w:rsid w:val="00E81EEE"/>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1FAE"/>
    <w:rsid w:val="00EB2086"/>
    <w:rsid w:val="00EB5EDF"/>
    <w:rsid w:val="00EB60FE"/>
    <w:rsid w:val="00EB74DB"/>
    <w:rsid w:val="00EC2F87"/>
    <w:rsid w:val="00EC4DA6"/>
    <w:rsid w:val="00EC5359"/>
    <w:rsid w:val="00EC562A"/>
    <w:rsid w:val="00ED067A"/>
    <w:rsid w:val="00ED0C3B"/>
    <w:rsid w:val="00ED2B50"/>
    <w:rsid w:val="00EE0350"/>
    <w:rsid w:val="00EE0719"/>
    <w:rsid w:val="00EE0E80"/>
    <w:rsid w:val="00EE54A6"/>
    <w:rsid w:val="00EE613F"/>
    <w:rsid w:val="00EE7295"/>
    <w:rsid w:val="00EE7869"/>
    <w:rsid w:val="00EF054A"/>
    <w:rsid w:val="00EF3235"/>
    <w:rsid w:val="00EF7E72"/>
    <w:rsid w:val="00F0383C"/>
    <w:rsid w:val="00F06D37"/>
    <w:rsid w:val="00F07B9D"/>
    <w:rsid w:val="00F107DE"/>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536"/>
    <w:rsid w:val="00F456C6"/>
    <w:rsid w:val="00F4577B"/>
    <w:rsid w:val="00F46496"/>
    <w:rsid w:val="00F46F43"/>
    <w:rsid w:val="00F474D0"/>
    <w:rsid w:val="00F50179"/>
    <w:rsid w:val="00F515EE"/>
    <w:rsid w:val="00F53F0A"/>
    <w:rsid w:val="00F56511"/>
    <w:rsid w:val="00F6194E"/>
    <w:rsid w:val="00F623AC"/>
    <w:rsid w:val="00F6412A"/>
    <w:rsid w:val="00F65893"/>
    <w:rsid w:val="00F66A4A"/>
    <w:rsid w:val="00F71E22"/>
    <w:rsid w:val="00F72142"/>
    <w:rsid w:val="00F72AE7"/>
    <w:rsid w:val="00F81141"/>
    <w:rsid w:val="00F81253"/>
    <w:rsid w:val="00F833BA"/>
    <w:rsid w:val="00F84FD0"/>
    <w:rsid w:val="00F859A8"/>
    <w:rsid w:val="00F86D87"/>
    <w:rsid w:val="00F9108B"/>
    <w:rsid w:val="00F91349"/>
    <w:rsid w:val="00F93A8A"/>
    <w:rsid w:val="00F95248"/>
    <w:rsid w:val="00F956A9"/>
    <w:rsid w:val="00F963ED"/>
    <w:rsid w:val="00F966CF"/>
    <w:rsid w:val="00F96CAE"/>
    <w:rsid w:val="00F97C99"/>
    <w:rsid w:val="00FA08F0"/>
    <w:rsid w:val="00FA1743"/>
    <w:rsid w:val="00FA4DAC"/>
    <w:rsid w:val="00FA662D"/>
    <w:rsid w:val="00FA73B1"/>
    <w:rsid w:val="00FA7726"/>
    <w:rsid w:val="00FB0CB9"/>
    <w:rsid w:val="00FB231D"/>
    <w:rsid w:val="00FB2D2A"/>
    <w:rsid w:val="00FB45F1"/>
    <w:rsid w:val="00FB4A72"/>
    <w:rsid w:val="00FB54E8"/>
    <w:rsid w:val="00FB6B34"/>
    <w:rsid w:val="00FB7054"/>
    <w:rsid w:val="00FC17B7"/>
    <w:rsid w:val="00FC17C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532161"/>
    <w:rsid w:val="02917FC5"/>
    <w:rsid w:val="05DE5D29"/>
    <w:rsid w:val="05FC372A"/>
    <w:rsid w:val="0B3643CE"/>
    <w:rsid w:val="0BF42E4E"/>
    <w:rsid w:val="0C1F5130"/>
    <w:rsid w:val="0F1E00FA"/>
    <w:rsid w:val="0F8120BC"/>
    <w:rsid w:val="11717F0E"/>
    <w:rsid w:val="123F12C9"/>
    <w:rsid w:val="13441D7E"/>
    <w:rsid w:val="13A4281C"/>
    <w:rsid w:val="15FE79D5"/>
    <w:rsid w:val="17D17958"/>
    <w:rsid w:val="186D3FE3"/>
    <w:rsid w:val="1A2308F8"/>
    <w:rsid w:val="1BBB14E9"/>
    <w:rsid w:val="1CA337BF"/>
    <w:rsid w:val="1DD67A76"/>
    <w:rsid w:val="1F586D35"/>
    <w:rsid w:val="201D7204"/>
    <w:rsid w:val="220D3C83"/>
    <w:rsid w:val="22106D5A"/>
    <w:rsid w:val="28C52760"/>
    <w:rsid w:val="290851A4"/>
    <w:rsid w:val="2AAF0BE9"/>
    <w:rsid w:val="2B195446"/>
    <w:rsid w:val="2E757505"/>
    <w:rsid w:val="2F567549"/>
    <w:rsid w:val="2FA63021"/>
    <w:rsid w:val="305D5DD5"/>
    <w:rsid w:val="31B23EFF"/>
    <w:rsid w:val="32902492"/>
    <w:rsid w:val="39C82448"/>
    <w:rsid w:val="39E8467B"/>
    <w:rsid w:val="3A1425C9"/>
    <w:rsid w:val="3AC07695"/>
    <w:rsid w:val="3B471B5C"/>
    <w:rsid w:val="3BC65E59"/>
    <w:rsid w:val="3D8949C3"/>
    <w:rsid w:val="3E5562E7"/>
    <w:rsid w:val="3F6B6ECA"/>
    <w:rsid w:val="3FF016A6"/>
    <w:rsid w:val="3FF335F9"/>
    <w:rsid w:val="409B6018"/>
    <w:rsid w:val="40EC2DAE"/>
    <w:rsid w:val="425A0117"/>
    <w:rsid w:val="431B61D5"/>
    <w:rsid w:val="44C93434"/>
    <w:rsid w:val="451E1B7F"/>
    <w:rsid w:val="468772B0"/>
    <w:rsid w:val="471137E6"/>
    <w:rsid w:val="47C85442"/>
    <w:rsid w:val="487C5A0C"/>
    <w:rsid w:val="48FE658F"/>
    <w:rsid w:val="499469C3"/>
    <w:rsid w:val="49F03EDB"/>
    <w:rsid w:val="49F36092"/>
    <w:rsid w:val="4ACC0E95"/>
    <w:rsid w:val="4AFF39A7"/>
    <w:rsid w:val="4B5C107E"/>
    <w:rsid w:val="4B833B5A"/>
    <w:rsid w:val="4E7C16F8"/>
    <w:rsid w:val="4E8B1908"/>
    <w:rsid w:val="4FBE7CD8"/>
    <w:rsid w:val="5079410E"/>
    <w:rsid w:val="51A27E07"/>
    <w:rsid w:val="530E2837"/>
    <w:rsid w:val="541D347B"/>
    <w:rsid w:val="545E143A"/>
    <w:rsid w:val="54632217"/>
    <w:rsid w:val="546D1AED"/>
    <w:rsid w:val="555E3E29"/>
    <w:rsid w:val="56C322F8"/>
    <w:rsid w:val="57C96DCF"/>
    <w:rsid w:val="57FB04AF"/>
    <w:rsid w:val="5E317DD6"/>
    <w:rsid w:val="5EA47457"/>
    <w:rsid w:val="5F1575F9"/>
    <w:rsid w:val="5FAD4028"/>
    <w:rsid w:val="61C3343B"/>
    <w:rsid w:val="626764BC"/>
    <w:rsid w:val="63640C4D"/>
    <w:rsid w:val="641174C0"/>
    <w:rsid w:val="66100BA7"/>
    <w:rsid w:val="668C1F4C"/>
    <w:rsid w:val="66AD7B58"/>
    <w:rsid w:val="66BB1425"/>
    <w:rsid w:val="66F916AD"/>
    <w:rsid w:val="67D53EC8"/>
    <w:rsid w:val="681C09D6"/>
    <w:rsid w:val="685B21A1"/>
    <w:rsid w:val="69F525FF"/>
    <w:rsid w:val="6B39476E"/>
    <w:rsid w:val="6DA700B4"/>
    <w:rsid w:val="6FED4616"/>
    <w:rsid w:val="70741DA4"/>
    <w:rsid w:val="70D72A5F"/>
    <w:rsid w:val="719D47F2"/>
    <w:rsid w:val="72370CB6"/>
    <w:rsid w:val="72AC300F"/>
    <w:rsid w:val="74FA7902"/>
    <w:rsid w:val="754744D1"/>
    <w:rsid w:val="75C31803"/>
    <w:rsid w:val="76BC35B7"/>
    <w:rsid w:val="76CC46E8"/>
    <w:rsid w:val="77B00D2F"/>
    <w:rsid w:val="79C45B4A"/>
    <w:rsid w:val="79D46B10"/>
    <w:rsid w:val="7AAD26BF"/>
    <w:rsid w:val="7D2E7A84"/>
    <w:rsid w:val="7E8835EA"/>
    <w:rsid w:val="7F5633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2">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7"/>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autoRedefine/>
    <w:semiHidden/>
    <w:unhideWhenUsed/>
    <w:qFormat/>
    <w:uiPriority w:val="99"/>
    <w:rPr>
      <w:sz w:val="18"/>
      <w:szCs w:val="18"/>
    </w:rPr>
  </w:style>
  <w:style w:type="paragraph" w:styleId="18">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3"/>
    <w:qFormat/>
    <w:uiPriority w:val="0"/>
    <w:rPr>
      <w:rFonts w:ascii="Times New Roman" w:hAnsi="Times New Roman" w:eastAsia="宋体" w:cs="Times New Roman"/>
      <w:b/>
      <w:bCs/>
      <w:kern w:val="44"/>
      <w:sz w:val="44"/>
      <w:szCs w:val="44"/>
    </w:rPr>
  </w:style>
  <w:style w:type="character" w:customStyle="1" w:styleId="36">
    <w:name w:val="标题 2 字符"/>
    <w:link w:val="2"/>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9"/>
    <w:qFormat/>
    <w:uiPriority w:val="99"/>
    <w:rPr>
      <w:rFonts w:ascii="Times New Roman" w:hAnsi="Times New Roman" w:eastAsia="宋体" w:cs="Times New Roman"/>
      <w:sz w:val="18"/>
      <w:szCs w:val="18"/>
    </w:rPr>
  </w:style>
  <w:style w:type="character" w:customStyle="1" w:styleId="45">
    <w:name w:val="页脚 字符"/>
    <w:link w:val="18"/>
    <w:qFormat/>
    <w:uiPriority w:val="99"/>
    <w:rPr>
      <w:rFonts w:ascii="宋体" w:hAnsi="Times New Roman" w:eastAsia="宋体" w:cs="Times New Roman"/>
      <w:sz w:val="18"/>
      <w:szCs w:val="18"/>
    </w:rPr>
  </w:style>
  <w:style w:type="character" w:customStyle="1" w:styleId="46">
    <w:name w:val="批注框文本 字符"/>
    <w:link w:val="17"/>
    <w:semiHidden/>
    <w:qFormat/>
    <w:uiPriority w:val="99"/>
    <w:rPr>
      <w:sz w:val="18"/>
      <w:szCs w:val="18"/>
    </w:rPr>
  </w:style>
  <w:style w:type="paragraph" w:styleId="47">
    <w:name w:val="Quote"/>
    <w:basedOn w:val="1"/>
    <w:next w:val="1"/>
    <w:link w:val="48"/>
    <w:autoRedefine/>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Char"/>
    <w:link w:val="232"/>
    <w:qFormat/>
    <w:uiPriority w:val="0"/>
    <w:rPr>
      <w:rFonts w:ascii="宋体"/>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3">
    <w:name w:val="章标题"/>
    <w:next w:val="232"/>
    <w:qFormat/>
    <w:uiPriority w:val="0"/>
    <w:pPr>
      <w:spacing w:beforeLines="100"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707A722EF3A4694B23907FB04ECFF4A"/>
        <w:style w:val=""/>
        <w:category>
          <w:name w:val="常规"/>
          <w:gallery w:val="placeholder"/>
        </w:category>
        <w:types>
          <w:type w:val="bbPlcHdr"/>
        </w:types>
        <w:behaviors>
          <w:behavior w:val="content"/>
        </w:behaviors>
        <w:description w:val=""/>
        <w:guid w:val="{1E7CB217-AE7C-4DF9-A0D2-3F7256D7F5AD}"/>
      </w:docPartPr>
      <w:docPartBody>
        <w:p w14:paraId="3226CD4A">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6822EB"/>
    <w:rsid w:val="0009091A"/>
    <w:rsid w:val="00150D70"/>
    <w:rsid w:val="001B0BDD"/>
    <w:rsid w:val="001D1CFE"/>
    <w:rsid w:val="003010D5"/>
    <w:rsid w:val="00317EAB"/>
    <w:rsid w:val="00322058"/>
    <w:rsid w:val="00391FF7"/>
    <w:rsid w:val="003D0F6B"/>
    <w:rsid w:val="003D5062"/>
    <w:rsid w:val="00410750"/>
    <w:rsid w:val="004379DC"/>
    <w:rsid w:val="00445967"/>
    <w:rsid w:val="0057705A"/>
    <w:rsid w:val="005D7451"/>
    <w:rsid w:val="00633EFD"/>
    <w:rsid w:val="00646A54"/>
    <w:rsid w:val="006822EB"/>
    <w:rsid w:val="00694266"/>
    <w:rsid w:val="00724561"/>
    <w:rsid w:val="00743C42"/>
    <w:rsid w:val="007467E5"/>
    <w:rsid w:val="0077149D"/>
    <w:rsid w:val="00784A74"/>
    <w:rsid w:val="00832836"/>
    <w:rsid w:val="00887A9B"/>
    <w:rsid w:val="00955A24"/>
    <w:rsid w:val="00985C8A"/>
    <w:rsid w:val="00993A13"/>
    <w:rsid w:val="009E7802"/>
    <w:rsid w:val="009F3A00"/>
    <w:rsid w:val="00A856DC"/>
    <w:rsid w:val="00A87087"/>
    <w:rsid w:val="00AC6F0A"/>
    <w:rsid w:val="00BB1FAA"/>
    <w:rsid w:val="00BE42BA"/>
    <w:rsid w:val="00C3345A"/>
    <w:rsid w:val="00C74E34"/>
    <w:rsid w:val="00D75637"/>
    <w:rsid w:val="00DE52E3"/>
    <w:rsid w:val="00EA6525"/>
    <w:rsid w:val="00EF3B0F"/>
    <w:rsid w:val="00FE3C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707A722EF3A4694B23907FB04ECFF4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10</Pages>
  <Words>3903</Words>
  <Characters>4504</Characters>
  <Lines>35</Lines>
  <Paragraphs>10</Paragraphs>
  <TotalTime>103</TotalTime>
  <ScaleCrop>false</ScaleCrop>
  <LinksUpToDate>false</LinksUpToDate>
  <CharactersWithSpaces>4588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2022-12-07T12:46:00Z</dcterms:created>
  <dc:creator>Administrator</dc:creator>
  <dc:description>&lt;config cover="true" show_menu="true" version="1.0.0" doctype="SDKXY"&gt;_x000d_
&lt;/config&gt;</dc:description>
  <cp:lastModifiedBy>LHT</cp:lastModifiedBy>
  <cp:lastPrinted>2020-08-30T10:00:00Z</cp:lastPrinted>
  <dcterms:modified xsi:type="dcterms:W3CDTF">2025-09-16T10:08:29Z</dcterms:modified>
  <dc:title>地方标准</dc:title>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5EEAD2A624504C0CAF538AFC74BE29F2_13</vt:lpwstr>
  </property>
  <property fmtid="{D5CDD505-2E9C-101B-9397-08002B2CF9AE}" pid="16" name="KSOTemplateDocerSaveRecord">
    <vt:lpwstr>eyJoZGlkIjoiOTU1MTBkMTFmNDU3Mzc2MDBmOGJkODk1MmI2M2M3MmYiLCJ1c2VySWQiOiIxNjE3NDI3MDYyIn0=</vt:lpwstr>
  </property>
</Properties>
</file>